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Nova &amp; Co.</w:t>
            </w:r>
          </w:p>
          <w:p>
            <w:pPr>
              <w:spacing w:before="0" w:after="80"/>
              <w:jc w:val="center"/>
            </w:pPr>
            <w:r>
              <w:rPr>
                <w:rFonts w:ascii="Arial" w:cs="Arial" w:eastAsia="Arial" w:hAnsi="Arial"/>
                <w:color w:val="BDD7EE"/>
                <w:sz w:val="32"/>
                <w:szCs w:val="32"/>
              </w:rPr>
              <w:t xml:space="preserve">Third-Party Software Policy</w:t>
            </w:r>
          </w:p>
          <w:p>
            <w:pPr>
              <w:spacing w:before="40" w:after="0"/>
              <w:jc w:val="center"/>
            </w:pPr>
            <w:r>
              <w:rPr>
                <w:rFonts w:ascii="Arial" w:cs="Arial" w:eastAsia="Arial" w:hAnsi="Arial"/>
                <w:color w:val="A9C4DB"/>
                <w:sz w:val="18"/>
                <w:szCs w:val="18"/>
              </w:rPr>
              <w:t xml:space="preserve">Version 1.0   |   Effective Date: March 1, 2026   |   Owner: IT Manager</w:t>
            </w:r>
          </w:p>
        </w:tc>
      </w:tr>
    </w:tbl>
    <w:p>
      <w:pPr>
        <w:spacing w:before="24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 Purpose</w:t>
      </w:r>
    </w:p>
    <w:p>
      <w:pPr>
        <w:spacing w:before="80" w:after="80"/>
      </w:pPr>
      <w:r>
        <w:rPr>
          <w:rFonts w:ascii="Arial" w:cs="Arial" w:eastAsia="Arial" w:hAnsi="Arial"/>
          <w:color w:val="444444"/>
          <w:sz w:val="22"/>
          <w:szCs w:val="22"/>
        </w:rPr>
        <w:t xml:space="preserve">Nova &amp; Co. relies on a growing ecosystem of third-party software tools to operate, collaborate, and serve our clients. Each tool introduced into our environment is a potential entry point for security risk, data exposure, or service disruption — particularly when it connects to the systems we depend on most, including Google Workspace, Slack, and Asana.</w:t>
      </w:r>
    </w:p>
    <w:p>
      <w:pPr>
        <w:spacing w:before="80" w:after="80"/>
      </w:pPr>
      <w:r>
        <w:rPr>
          <w:rFonts w:ascii="Arial" w:cs="Arial" w:eastAsia="Arial" w:hAnsi="Arial"/>
          <w:color w:val="444444"/>
          <w:sz w:val="22"/>
          <w:szCs w:val="22"/>
        </w:rPr>
        <w:t xml:space="preserve">This policy establishes a consistent, risk-based process for evaluating, approving, and managing third-party software across the organization. It is designed to give employees and managers clear guidance on what they can use, how to request new tools, and what responsibilities come with using software on behalf of Nova &amp; 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Connection to Recent Security Incident</w:t>
            </w:r>
          </w:p>
          <w:p>
            <w:pPr>
              <w:spacing w:before="0" w:after="0"/>
            </w:pPr>
            <w:r>
              <w:rPr>
                <w:rFonts w:ascii="Arial" w:cs="Arial" w:eastAsia="Arial" w:hAnsi="Arial"/>
                <w:color w:val="444444"/>
                <w:sz w:val="22"/>
                <w:szCs w:val="22"/>
              </w:rPr>
              <w:t xml:space="preserve">A forensic review of Nova &amp; Co.'s recent breach revealed that an undeprovisioned former employee account was exploited for 94 days. Unauthorized third-party software and poorly managed integrations carry similar risks: persistent access that is difficult to detect and revoke. This policy is a direct response to that lesson.</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2. Scope</w:t>
      </w:r>
    </w:p>
    <w:p>
      <w:pPr>
        <w:spacing w:before="80" w:after="80"/>
      </w:pPr>
      <w:r>
        <w:rPr>
          <w:rFonts w:ascii="Arial" w:cs="Arial" w:eastAsia="Arial" w:hAnsi="Arial"/>
          <w:color w:val="444444"/>
          <w:sz w:val="22"/>
          <w:szCs w:val="22"/>
        </w:rPr>
        <w:t xml:space="preserve">This policy applies to:</w:t>
      </w:r>
    </w:p>
    <w:p>
      <w:pPr>
        <w:pStyle w:val="ListParagraph"/>
        <w:numPr>
          <w:ilvl w:val="0"/>
          <w:numId w:val="2"/>
        </w:numPr>
        <w:spacing w:before="40" w:after="40"/>
      </w:pPr>
      <w:r>
        <w:rPr>
          <w:rFonts w:ascii="Arial" w:cs="Arial" w:eastAsia="Arial" w:hAnsi="Arial"/>
          <w:color w:val="444444"/>
          <w:sz w:val="22"/>
          <w:szCs w:val="22"/>
        </w:rPr>
        <w:t xml:space="preserve">All Nova &amp; Co. employees — full-time, part-time, remote, and office-based</w:t>
      </w:r>
    </w:p>
    <w:p>
      <w:pPr>
        <w:pStyle w:val="ListParagraph"/>
        <w:numPr>
          <w:ilvl w:val="0"/>
          <w:numId w:val="2"/>
        </w:numPr>
        <w:spacing w:before="40" w:after="40"/>
      </w:pPr>
      <w:r>
        <w:rPr>
          <w:rFonts w:ascii="Arial" w:cs="Arial" w:eastAsia="Arial" w:hAnsi="Arial"/>
          <w:color w:val="444444"/>
          <w:sz w:val="22"/>
          <w:szCs w:val="22"/>
        </w:rPr>
        <w:t xml:space="preserve">Contractors, consultants, and vendors who access Nova &amp; Co. systems or data</w:t>
      </w:r>
    </w:p>
    <w:p>
      <w:pPr>
        <w:pStyle w:val="ListParagraph"/>
        <w:numPr>
          <w:ilvl w:val="0"/>
          <w:numId w:val="2"/>
        </w:numPr>
        <w:spacing w:before="40" w:after="40"/>
      </w:pPr>
      <w:r>
        <w:rPr>
          <w:rFonts w:ascii="Arial" w:cs="Arial" w:eastAsia="Arial" w:hAnsi="Arial"/>
          <w:color w:val="444444"/>
          <w:sz w:val="22"/>
          <w:szCs w:val="22"/>
        </w:rPr>
        <w:t xml:space="preserve">All software, applications, SaaS platforms, browser extensions, plugins, mobile apps, and desktop tools used to conduct company business</w:t>
      </w:r>
    </w:p>
    <w:p>
      <w:pPr>
        <w:pStyle w:val="ListParagraph"/>
        <w:numPr>
          <w:ilvl w:val="0"/>
          <w:numId w:val="2"/>
        </w:numPr>
        <w:spacing w:before="40" w:after="40"/>
      </w:pPr>
      <w:r>
        <w:rPr>
          <w:rFonts w:ascii="Arial" w:cs="Arial" w:eastAsia="Arial" w:hAnsi="Arial"/>
          <w:color w:val="444444"/>
          <w:sz w:val="22"/>
          <w:szCs w:val="22"/>
        </w:rPr>
        <w:t xml:space="preserve">All devices used for work, including company-issued MacBooks and personal devices accessing company data (BYOD)</w:t>
      </w:r>
    </w:p>
    <w:p>
      <w:pPr>
        <w:spacing w:before="80" w:after="0"/>
      </w:pPr>
      <w:r>
        <w:t xml:space="preserve"/>
      </w:r>
    </w:p>
    <w:p>
      <w:pPr>
        <w:spacing w:before="80" w:after="80"/>
      </w:pPr>
      <w:r>
        <w:rPr>
          <w:rFonts w:ascii="Arial" w:cs="Arial" w:eastAsia="Arial" w:hAnsi="Arial"/>
          <w:color w:val="444444"/>
          <w:sz w:val="22"/>
          <w:szCs w:val="22"/>
        </w:rPr>
        <w:t xml:space="preserve">This policy applies regardless of whether the tool is free or paid, web-based or installed, or accessed through a personal or company account.</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3.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Third-Party Software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Any software, application, or service not developed or exclusively operated by Nova &amp; Co., including commercial SaaS tools, open-source software, browser extensions, plugins, and mobile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Approved Software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Software that has been reviewed and authorized for use by the IT Manager and is listed on the Nova &amp; Co. Approved Software Register.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Shadow IT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Software or services used for company work that have not been reviewed or approved by the IT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connection between two software systems that allows them to share data or trigger actions, typically established via API keys, OAuth, or webhooks.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OAuth Authorization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 protocol that allows a third-party application to access a user's account (e.g., Google, Slack) with delegated permissions. OAuth grants can persist indefinitely and must be managed carefully.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Data Processing Agreement (DPA)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 contract required under privacy regulations (e.g., GDPR, CCPA) when a vendor processes personal data on behalf of Nova &amp; Co.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BYOD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Bring Your Own Device — a personal device (laptop, phone, tablet) used to access Nova &amp; Co. systems, data, or accounts.</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4. Approved Software Register</w:t>
      </w:r>
    </w:p>
    <w:p>
      <w:pPr>
        <w:spacing w:before="80" w:after="80"/>
      </w:pPr>
      <w:r>
        <w:rPr>
          <w:rFonts w:ascii="Arial" w:cs="Arial" w:eastAsia="Arial" w:hAnsi="Arial"/>
          <w:color w:val="444444"/>
          <w:sz w:val="22"/>
          <w:szCs w:val="22"/>
        </w:rPr>
        <w:t xml:space="preserve">The following software tools are currently approved for use at Nova &amp; Co. The IT Manager maintains a complete Approved Software Register in the company's shared Google Drive. The table below reflects the core approved tool set as of the policy effective date.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9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Productivity &amp; Collaboration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Google Workspace (Gmail, Drive, Docs, Sheets, Slides, Meet)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Company-managed; enforced via Google Workspace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Productivity &amp; Collaboration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Slack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Company workspace only; no unapproved third-party Slack apps/bots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Productivity &amp; Collaboration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Asana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Company workspace only; no unapproved integrations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Productivity &amp; Collaboration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Company account; recordings must not be stored on personal cloud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Security &amp; Access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1Password (or IT-approved password manager)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Required for all employees; personal vaults permitted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Security &amp; Access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Okta / Google SSO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Required for all SSO-eligible applications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Device Management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Company-issued MacBook with Jamf MDM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Office and remote employees with company devices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Development Tools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(company org)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Engineering team only; no public repos for company code without approval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Development Tools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VS Code, JetBrains IDEs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Standard; no unapproved AI coding plugins (see AI Use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File Transfer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Drive (company 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personal cloud storage for company data</w:t>
            </w:r>
          </w:p>
        </w:tc>
      </w:tr>
    </w:tbl>
    <w:p>
      <w:pPr>
        <w:spacing w:before="100" w:after="0"/>
      </w:pPr>
      <w:r>
        <w:t xml:space="preserve"/>
      </w:r>
    </w:p>
    <w:p>
      <w:pPr>
        <w:spacing w:before="80" w:after="80"/>
      </w:pPr>
      <w:r>
        <w:rPr>
          <w:rFonts w:ascii="Arial" w:cs="Arial" w:eastAsia="Arial" w:hAnsi="Arial"/>
          <w:color w:val="444444"/>
          <w:sz w:val="22"/>
          <w:szCs w:val="22"/>
        </w:rPr>
        <w:t xml:space="preserve">The Approved Software Register is a living document. Employees should consult it before requesting new tools to determine whether an equivalent is already approved.</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5. Software Request and Approval Process</w:t>
      </w:r>
    </w:p>
    <w:p>
      <w:pPr>
        <w:spacing w:before="80" w:after="80"/>
      </w:pPr>
      <w:r>
        <w:rPr>
          <w:rFonts w:ascii="Arial" w:cs="Arial" w:eastAsia="Arial" w:hAnsi="Arial"/>
          <w:color w:val="444444"/>
          <w:sz w:val="22"/>
          <w:szCs w:val="22"/>
        </w:rPr>
        <w:t xml:space="preserve">No third-party software may be used for company business unless it is on the Approved Software Register or has received written approval from the IT Manager. The following process applies to all new software requests.</w:t>
      </w:r>
    </w:p>
    <w:p>
      <w:pPr>
        <w:spacing w:before="80" w:after="0"/>
      </w:pPr>
      <w:r>
        <w:t xml:space="preserve"/>
      </w:r>
    </w:p>
    <w:p>
      <w:pPr>
        <w:pStyle w:val="Heading2"/>
        <w:spacing w:before="240" w:after="80"/>
      </w:pPr>
      <w:r>
        <w:rPr>
          <w:rFonts w:ascii="Arial" w:cs="Arial" w:eastAsia="Arial" w:hAnsi="Arial"/>
          <w:b/>
          <w:bCs/>
          <w:color w:val="2E75B6"/>
          <w:sz w:val="24"/>
          <w:szCs w:val="24"/>
        </w:rPr>
        <w:t xml:space="preserve">5.1 How to Submit a Request</w:t>
      </w:r>
    </w:p>
    <w:p>
      <w:pPr>
        <w:spacing w:before="80" w:after="80"/>
      </w:pPr>
      <w:r>
        <w:rPr>
          <w:rFonts w:ascii="Arial" w:cs="Arial" w:eastAsia="Arial" w:hAnsi="Arial"/>
          <w:color w:val="444444"/>
          <w:sz w:val="22"/>
          <w:szCs w:val="22"/>
        </w:rPr>
        <w:t xml:space="preserve">Employees wishing to use a new tool should submit a Software Request to the IT Manager via email or Slack, including the following information:</w:t>
      </w:r>
    </w:p>
    <w:p>
      <w:pPr>
        <w:pStyle w:val="ListParagraph"/>
        <w:numPr>
          <w:ilvl w:val="0"/>
          <w:numId w:val="2"/>
        </w:numPr>
        <w:spacing w:before="40" w:after="40"/>
      </w:pPr>
      <w:r>
        <w:rPr>
          <w:rFonts w:ascii="Arial" w:cs="Arial" w:eastAsia="Arial" w:hAnsi="Arial"/>
          <w:color w:val="444444"/>
          <w:sz w:val="22"/>
          <w:szCs w:val="22"/>
        </w:rPr>
        <w:t xml:space="preserve">Tool name, vendor, and website</w:t>
      </w:r>
    </w:p>
    <w:p>
      <w:pPr>
        <w:pStyle w:val="ListParagraph"/>
        <w:numPr>
          <w:ilvl w:val="0"/>
          <w:numId w:val="2"/>
        </w:numPr>
        <w:spacing w:before="40" w:after="40"/>
      </w:pPr>
      <w:r>
        <w:rPr>
          <w:rFonts w:ascii="Arial" w:cs="Arial" w:eastAsia="Arial" w:hAnsi="Arial"/>
          <w:color w:val="444444"/>
          <w:sz w:val="22"/>
          <w:szCs w:val="22"/>
        </w:rPr>
        <w:t xml:space="preserve">Intended use case and which team will use it</w:t>
      </w:r>
    </w:p>
    <w:p>
      <w:pPr>
        <w:pStyle w:val="ListParagraph"/>
        <w:numPr>
          <w:ilvl w:val="0"/>
          <w:numId w:val="2"/>
        </w:numPr>
        <w:spacing w:before="40" w:after="40"/>
      </w:pPr>
      <w:r>
        <w:rPr>
          <w:rFonts w:ascii="Arial" w:cs="Arial" w:eastAsia="Arial" w:hAnsi="Arial"/>
          <w:color w:val="444444"/>
          <w:sz w:val="22"/>
          <w:szCs w:val="22"/>
        </w:rPr>
        <w:t xml:space="preserve">Whether the tool will access any company data, accounts, or integrations</w:t>
      </w:r>
    </w:p>
    <w:p>
      <w:pPr>
        <w:pStyle w:val="ListParagraph"/>
        <w:numPr>
          <w:ilvl w:val="0"/>
          <w:numId w:val="2"/>
        </w:numPr>
        <w:spacing w:before="40" w:after="40"/>
      </w:pPr>
      <w:r>
        <w:rPr>
          <w:rFonts w:ascii="Arial" w:cs="Arial" w:eastAsia="Arial" w:hAnsi="Arial"/>
          <w:color w:val="444444"/>
          <w:sz w:val="22"/>
          <w:szCs w:val="22"/>
        </w:rPr>
        <w:t xml:space="preserve">Whether a free or paid account is needed</w:t>
      </w:r>
    </w:p>
    <w:p>
      <w:pPr>
        <w:pStyle w:val="ListParagraph"/>
        <w:numPr>
          <w:ilvl w:val="0"/>
          <w:numId w:val="2"/>
        </w:numPr>
        <w:spacing w:before="40" w:after="40"/>
      </w:pPr>
      <w:r>
        <w:rPr>
          <w:rFonts w:ascii="Arial" w:cs="Arial" w:eastAsia="Arial" w:hAnsi="Arial"/>
          <w:color w:val="444444"/>
          <w:sz w:val="22"/>
          <w:szCs w:val="22"/>
        </w:rPr>
        <w:t xml:space="preserve">Any relevant vendor security documentation (SOC 2 report, privacy policy, DPA)</w:t>
      </w:r>
    </w:p>
    <w:p>
      <w:pPr>
        <w:spacing w:before="80" w:after="0"/>
      </w:pPr>
      <w:r>
        <w:t xml:space="preserve"/>
      </w:r>
    </w:p>
    <w:p>
      <w:pPr>
        <w:pStyle w:val="Heading2"/>
        <w:spacing w:before="240" w:after="80"/>
      </w:pPr>
      <w:r>
        <w:rPr>
          <w:rFonts w:ascii="Arial" w:cs="Arial" w:eastAsia="Arial" w:hAnsi="Arial"/>
          <w:b/>
          <w:bCs/>
          <w:color w:val="2E75B6"/>
          <w:sz w:val="24"/>
          <w:szCs w:val="24"/>
        </w:rPr>
        <w:t xml:space="preserve">5.2 Review Timeline</w:t>
      </w:r>
    </w:p>
    <w:p>
      <w:pPr>
        <w:spacing w:before="80" w:after="80"/>
      </w:pPr>
      <w:r>
        <w:rPr>
          <w:rFonts w:ascii="Arial" w:cs="Arial" w:eastAsia="Arial" w:hAnsi="Arial"/>
          <w:color w:val="444444"/>
          <w:sz w:val="22"/>
          <w:szCs w:val="22"/>
        </w:rPr>
        <w:t xml:space="preserve">The IT Manager will acknowledge all requests within two business days and provide a decision within the timeframe appropriate to the tool's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Risk Tier</w:t>
            </w:r>
          </w:p>
        </w:tc>
        <w:tc>
          <w:tcPr>
            <w:tcW w:type="dxa" w:w="41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Expected Review Time</w:t>
            </w:r>
          </w:p>
        </w:tc>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Approval Authority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Tier 1 — Low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2 business days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IT Manager (notification)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Tier 2 — 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5 business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IT Manager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Tier 3 — High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10 business days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IT Manager + Manager sign-off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Tier 4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15+ business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IT Manager + Legal/Compliance + Executive</w:t>
            </w:r>
          </w:p>
        </w:tc>
      </w:tr>
    </w:tbl>
    <w:p>
      <w:pPr>
        <w:spacing w:before="100" w:after="0"/>
      </w:pPr>
      <w:r>
        <w:t xml:space="preserve"/>
      </w:r>
    </w:p>
    <w:p>
      <w:pPr>
        <w:spacing w:before="80" w:after="80"/>
      </w:pPr>
      <w:r>
        <w:rPr>
          <w:rFonts w:ascii="Arial" w:cs="Arial" w:eastAsia="Arial" w:hAnsi="Arial"/>
          <w:color w:val="444444"/>
          <w:sz w:val="22"/>
          <w:szCs w:val="22"/>
        </w:rPr>
        <w:t xml:space="preserve">If a request is denied, the IT Manager will explain the reason and, where possible, recommend an approved alternative. Employees may appeal a denial to their manager, who may escalate to leadership with additional justification.</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6. Risk Classification Framework</w:t>
      </w:r>
    </w:p>
    <w:p>
      <w:pPr>
        <w:spacing w:before="80" w:after="80"/>
      </w:pPr>
      <w:r>
        <w:rPr>
          <w:rFonts w:ascii="Arial" w:cs="Arial" w:eastAsia="Arial" w:hAnsi="Arial"/>
          <w:color w:val="444444"/>
          <w:sz w:val="22"/>
          <w:szCs w:val="22"/>
        </w:rPr>
        <w:t xml:space="preserve">All third-party software is evaluated against a four-tier risk framework. Risk tier determines the level of review required and the controls that must be in place before a tool is approved.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2700"/>
      </w:tblGrid>
      <w:tr>
        <w:tc>
          <w:tcPr>
            <w:tcW w:type="dxa" w:w="1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7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1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Approval Requirement</w:t>
            </w:r>
          </w:p>
        </w:tc>
        <w:tc>
          <w:tcPr>
            <w:tcW w:type="dxa" w:w="27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Tier 1 — Low Risk</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Standard productivity tools with no access to sensitive data, no integrations, used individually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IT notification preferred; employee may proceed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Browser extensions with no data access; standalone reference apps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Tier 2 — Moderate Risk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Tools that access, store, or process company data; SaaS tools with company login; browser extensions with data access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IT review and written approval required before use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Project management tools; note-taking apps with cloud sync; screen recording tools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Tier 3 — High Risk</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Tools that integrate with Google Workspace, Slack, or Asana; tools processing client or employee data; AI-enabled tools; security tools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IT review, vendor security assessment, and management sign-off required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OAuth integrations; data analytics platforms; any tool handling PII or financial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Tier 4 — Critical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Tools requiring network-level access, endpoint agents, or handling regulated/confidential data at scale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IT review, vendor security assessment, legal/compliance review, and executive approval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EDR agents; VPN clients; payroll or HR systems; compliance platforms</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7. Vendor Security Review Criteria</w:t>
      </w:r>
    </w:p>
    <w:p>
      <w:pPr>
        <w:spacing w:before="80" w:after="80"/>
      </w:pPr>
      <w:r>
        <w:rPr>
          <w:rFonts w:ascii="Arial" w:cs="Arial" w:eastAsia="Arial" w:hAnsi="Arial"/>
          <w:color w:val="444444"/>
          <w:sz w:val="22"/>
          <w:szCs w:val="22"/>
        </w:rPr>
        <w:t xml:space="preserve">For Tier 2 and above, the IT Manager will evaluate the following criteria as part of the approval process. Employees requesting tools should gather this information from the vendor before submitting a request where possible.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69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What We Evaluate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Data Handling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What data will the tool access, store, or transmit? Is it encrypted in transit and at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Vendor Security Posture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Does the vendor maintain a SOC 2 Type II report, ISO 27001 certification, or equivalent? Is a privacy policy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Authentication &amp; Access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Does the tool support SSO/SAML? Does it support MFA? Can access be centrally revoked?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Integration 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What permissions does the tool request? Are those permissions proportionate to its function?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Contractual Protections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Is a Data Processing Agreement (DPA) or Business Associate Agreement (BAA) available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Offboarding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Can accounts be deprovisioned centrally? Are data deletion/export options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Vendor Stability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Is the vendor an established company or a startup with uncertain longevity? Is the tool actively maintained?</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8. Integrations and OAuth Authorization Management</w:t>
      </w:r>
    </w:p>
    <w:p>
      <w:pPr>
        <w:spacing w:before="80" w:after="80"/>
      </w:pPr>
      <w:r>
        <w:rPr>
          <w:rFonts w:ascii="Arial" w:cs="Arial" w:eastAsia="Arial" w:hAnsi="Arial"/>
          <w:color w:val="444444"/>
          <w:sz w:val="22"/>
          <w:szCs w:val="22"/>
        </w:rPr>
        <w:t xml:space="preserve">Integrations — connections between third-party software and Nova &amp; Co.'s core platforms — represent one of the most significant software-related security risks we face. OAuth authorizations in particular can grant broad, persistent access to company data and must be carefully managed.</w:t>
      </w:r>
    </w:p>
    <w:p>
      <w:pPr>
        <w:spacing w:before="80" w:after="0"/>
      </w:pPr>
      <w:r>
        <w:t xml:space="preserve"/>
      </w:r>
    </w:p>
    <w:p>
      <w:pPr>
        <w:pStyle w:val="Heading2"/>
        <w:spacing w:before="240" w:after="80"/>
      </w:pPr>
      <w:r>
        <w:rPr>
          <w:rFonts w:ascii="Arial" w:cs="Arial" w:eastAsia="Arial" w:hAnsi="Arial"/>
          <w:b/>
          <w:bCs/>
          <w:color w:val="2E75B6"/>
          <w:sz w:val="24"/>
          <w:szCs w:val="24"/>
        </w:rPr>
        <w:t xml:space="preserve">8.1 Integration Requirements</w:t>
      </w:r>
    </w:p>
    <w:p>
      <w:pPr>
        <w:pStyle w:val="ListParagraph"/>
        <w:numPr>
          <w:ilvl w:val="0"/>
          <w:numId w:val="2"/>
        </w:numPr>
        <w:spacing w:before="40" w:after="40"/>
      </w:pPr>
      <w:r>
        <w:rPr>
          <w:rFonts w:ascii="Arial" w:cs="Arial" w:eastAsia="Arial" w:hAnsi="Arial"/>
          <w:color w:val="444444"/>
          <w:sz w:val="22"/>
          <w:szCs w:val="22"/>
        </w:rPr>
        <w:t xml:space="preserve">No employee may connect a third-party tool to Nova &amp; Co.'s Google Workspace, Slack, or Asana accounts without prior written IT approval, regardless of whether the tool itself is on the Approved Software Register</w:t>
      </w:r>
    </w:p>
    <w:p>
      <w:pPr>
        <w:pStyle w:val="ListParagraph"/>
        <w:numPr>
          <w:ilvl w:val="0"/>
          <w:numId w:val="2"/>
        </w:numPr>
        <w:spacing w:before="40" w:after="40"/>
      </w:pPr>
      <w:r>
        <w:rPr>
          <w:rFonts w:ascii="Arial" w:cs="Arial" w:eastAsia="Arial" w:hAnsi="Arial"/>
          <w:color w:val="444444"/>
          <w:sz w:val="22"/>
          <w:szCs w:val="22"/>
        </w:rPr>
        <w:t xml:space="preserve">All approved integrations must be documented in the Integrations Register maintained by the IT Manager, including the tool name, scope of access, date authorized, and authorizing employee</w:t>
      </w:r>
    </w:p>
    <w:p>
      <w:pPr>
        <w:pStyle w:val="ListParagraph"/>
        <w:numPr>
          <w:ilvl w:val="0"/>
          <w:numId w:val="2"/>
        </w:numPr>
        <w:spacing w:before="40" w:after="40"/>
      </w:pPr>
      <w:r>
        <w:rPr>
          <w:rFonts w:ascii="Arial" w:cs="Arial" w:eastAsia="Arial" w:hAnsi="Arial"/>
          <w:color w:val="444444"/>
          <w:sz w:val="22"/>
          <w:szCs w:val="22"/>
        </w:rPr>
        <w:t xml:space="preserve">Integrations should be granted the minimum permissions necessary to perform their intended function (principle of least privilege)</w:t>
      </w:r>
    </w:p>
    <w:p>
      <w:pPr>
        <w:pStyle w:val="ListParagraph"/>
        <w:numPr>
          <w:ilvl w:val="0"/>
          <w:numId w:val="2"/>
        </w:numPr>
        <w:spacing w:before="40" w:after="40"/>
      </w:pPr>
      <w:r>
        <w:rPr>
          <w:rFonts w:ascii="Arial" w:cs="Arial" w:eastAsia="Arial" w:hAnsi="Arial"/>
          <w:color w:val="444444"/>
          <w:sz w:val="22"/>
          <w:szCs w:val="22"/>
        </w:rPr>
        <w:t xml:space="preserve">Webhook connections and API keys generated for integrations must be stored securely, documented, and reported to the IT Manager</w:t>
      </w:r>
    </w:p>
    <w:p>
      <w:pPr>
        <w:spacing w:before="80" w:after="0"/>
      </w:pPr>
      <w:r>
        <w:t xml:space="preserve"/>
      </w:r>
    </w:p>
    <w:p>
      <w:pPr>
        <w:pStyle w:val="Heading2"/>
        <w:spacing w:before="240" w:after="80"/>
      </w:pPr>
      <w:r>
        <w:rPr>
          <w:rFonts w:ascii="Arial" w:cs="Arial" w:eastAsia="Arial" w:hAnsi="Arial"/>
          <w:b/>
          <w:bCs/>
          <w:color w:val="2E75B6"/>
          <w:sz w:val="24"/>
          <w:szCs w:val="24"/>
        </w:rPr>
        <w:t xml:space="preserve">8.2 OAuth Authorization Audit</w:t>
      </w:r>
    </w:p>
    <w:p>
      <w:pPr>
        <w:spacing w:before="80" w:after="80"/>
      </w:pPr>
      <w:r>
        <w:rPr>
          <w:rFonts w:ascii="Arial" w:cs="Arial" w:eastAsia="Arial" w:hAnsi="Arial"/>
          <w:color w:val="444444"/>
          <w:sz w:val="22"/>
          <w:szCs w:val="22"/>
        </w:rPr>
        <w:t xml:space="preserve">Because Nova &amp; Co.'s prior security incident demonstrated the risks of lingering, unmonitored access, the IT Manager will conduct a quarterly audit of all OAuth authorizations connected to Nova &amp; Co. Google accounts, Slack, and Asana. Employees will be notified to review and revoke any authorizations they no longer use or did not intentionally grant.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How to Review Your Google OAuth Authorizations</w:t>
            </w:r>
          </w:p>
          <w:p>
            <w:pPr>
              <w:spacing w:before="0" w:after="0"/>
            </w:pPr>
            <w:r>
              <w:rPr>
                <w:rFonts w:ascii="Arial" w:cs="Arial" w:eastAsia="Arial" w:hAnsi="Arial"/>
                <w:color w:val="444444"/>
                <w:sz w:val="22"/>
                <w:szCs w:val="22"/>
              </w:rPr>
              <w:t xml:space="preserve">Employees can view and revoke connected apps by visiting myaccount.google.com &gt; Security &gt; Third-party apps with account access. If you see any apps you don't recognize or no longer use, revoke access immediately and notify the IT Manager.</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9. Browser Extensions and Plugins</w:t>
      </w:r>
    </w:p>
    <w:p>
      <w:pPr>
        <w:spacing w:before="80" w:after="80"/>
      </w:pPr>
      <w:r>
        <w:rPr>
          <w:rFonts w:ascii="Arial" w:cs="Arial" w:eastAsia="Arial" w:hAnsi="Arial"/>
          <w:color w:val="444444"/>
          <w:sz w:val="22"/>
          <w:szCs w:val="22"/>
        </w:rPr>
        <w:t xml:space="preserve">Browser extensions and plugins are a frequently overlooked attack surface. Many request broad permissions (access to all site content, clipboard data, or browsing history) and are difficult to audit at scale. The following rules apply to all employees:</w:t>
      </w:r>
    </w:p>
    <w:p>
      <w:pPr>
        <w:pStyle w:val="ListParagraph"/>
        <w:numPr>
          <w:ilvl w:val="0"/>
          <w:numId w:val="2"/>
        </w:numPr>
        <w:spacing w:before="40" w:after="40"/>
      </w:pPr>
      <w:r>
        <w:rPr>
          <w:rFonts w:ascii="Arial" w:cs="Arial" w:eastAsia="Arial" w:hAnsi="Arial"/>
          <w:color w:val="444444"/>
          <w:sz w:val="22"/>
          <w:szCs w:val="22"/>
        </w:rPr>
        <w:t xml:space="preserve">Only browser extensions on the Approved Software Register may be installed on browsers used for company work</w:t>
      </w:r>
    </w:p>
    <w:p>
      <w:pPr>
        <w:pStyle w:val="ListParagraph"/>
        <w:numPr>
          <w:ilvl w:val="0"/>
          <w:numId w:val="2"/>
        </w:numPr>
        <w:spacing w:before="40" w:after="40"/>
      </w:pPr>
      <w:r>
        <w:rPr>
          <w:rFonts w:ascii="Arial" w:cs="Arial" w:eastAsia="Arial" w:hAnsi="Arial"/>
          <w:color w:val="444444"/>
          <w:sz w:val="22"/>
          <w:szCs w:val="22"/>
        </w:rPr>
        <w:t xml:space="preserve">Extensions must not be granted access to your Nova &amp; Co. Google account, email, Drive, or calendar unless explicitly approved by IT</w:t>
      </w:r>
    </w:p>
    <w:p>
      <w:pPr>
        <w:pStyle w:val="ListParagraph"/>
        <w:numPr>
          <w:ilvl w:val="0"/>
          <w:numId w:val="2"/>
        </w:numPr>
        <w:spacing w:before="40" w:after="40"/>
      </w:pPr>
      <w:r>
        <w:rPr>
          <w:rFonts w:ascii="Arial" w:cs="Arial" w:eastAsia="Arial" w:hAnsi="Arial"/>
          <w:color w:val="444444"/>
          <w:sz w:val="22"/>
          <w:szCs w:val="22"/>
        </w:rPr>
        <w:t xml:space="preserve">Do not install extensions from unofficial sources, third-party extension stores, or direct .crx/.xpi file downloads</w:t>
      </w:r>
    </w:p>
    <w:p>
      <w:pPr>
        <w:pStyle w:val="ListParagraph"/>
        <w:numPr>
          <w:ilvl w:val="0"/>
          <w:numId w:val="2"/>
        </w:numPr>
        <w:spacing w:before="40" w:after="40"/>
      </w:pPr>
      <w:r>
        <w:rPr>
          <w:rFonts w:ascii="Arial" w:cs="Arial" w:eastAsia="Arial" w:hAnsi="Arial"/>
          <w:color w:val="444444"/>
          <w:sz w:val="22"/>
          <w:szCs w:val="22"/>
        </w:rPr>
        <w:t xml:space="preserve">Extensions that are no longer actively maintained by their developer should be removed and reported to IT for removal from the approved list</w:t>
      </w:r>
    </w:p>
    <w:p>
      <w:pPr>
        <w:pStyle w:val="ListParagraph"/>
        <w:numPr>
          <w:ilvl w:val="0"/>
          <w:numId w:val="2"/>
        </w:numPr>
        <w:spacing w:before="40" w:after="40"/>
      </w:pPr>
      <w:r>
        <w:rPr>
          <w:rFonts w:ascii="Arial" w:cs="Arial" w:eastAsia="Arial" w:hAnsi="Arial"/>
          <w:color w:val="444444"/>
          <w:sz w:val="22"/>
          <w:szCs w:val="22"/>
        </w:rPr>
        <w:t xml:space="preserve">IT reserves the right to push browser policy via Google Workspace Admin that restricts which extensions can be installed on company-managed devices</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10. Mobile Applications</w:t>
      </w:r>
    </w:p>
    <w:p>
      <w:pPr>
        <w:spacing w:before="80" w:after="80"/>
      </w:pPr>
      <w:r>
        <w:rPr>
          <w:rFonts w:ascii="Arial" w:cs="Arial" w:eastAsia="Arial" w:hAnsi="Arial"/>
          <w:color w:val="444444"/>
          <w:sz w:val="22"/>
          <w:szCs w:val="22"/>
        </w:rPr>
        <w:t xml:space="preserve">Work conducted on mobile devices — whether company-issued or personal — is subject to the same software approval requirements as desktop and browser-based tools.</w:t>
      </w:r>
    </w:p>
    <w:p>
      <w:pPr>
        <w:pStyle w:val="ListParagraph"/>
        <w:numPr>
          <w:ilvl w:val="0"/>
          <w:numId w:val="2"/>
        </w:numPr>
        <w:spacing w:before="40" w:after="40"/>
      </w:pPr>
      <w:r>
        <w:rPr>
          <w:rFonts w:ascii="Arial" w:cs="Arial" w:eastAsia="Arial" w:hAnsi="Arial"/>
          <w:color w:val="444444"/>
          <w:sz w:val="22"/>
          <w:szCs w:val="22"/>
        </w:rPr>
        <w:t xml:space="preserve">Mobile apps used to access Nova &amp; Co. data (email, Drive, Slack, Asana) must be the official apps from Apple App Store or Google Play Store</w:t>
      </w:r>
    </w:p>
    <w:p>
      <w:pPr>
        <w:pStyle w:val="ListParagraph"/>
        <w:numPr>
          <w:ilvl w:val="0"/>
          <w:numId w:val="2"/>
        </w:numPr>
        <w:spacing w:before="40" w:after="40"/>
      </w:pPr>
      <w:r>
        <w:rPr>
          <w:rFonts w:ascii="Arial" w:cs="Arial" w:eastAsia="Arial" w:hAnsi="Arial"/>
          <w:color w:val="444444"/>
          <w:sz w:val="22"/>
          <w:szCs w:val="22"/>
        </w:rPr>
        <w:t xml:space="preserve">Do not use third-party mobile apps to access your Nova &amp; Co. Google account (e.g., a third-party email client) without IT approval</w:t>
      </w:r>
    </w:p>
    <w:p>
      <w:pPr>
        <w:pStyle w:val="ListParagraph"/>
        <w:numPr>
          <w:ilvl w:val="0"/>
          <w:numId w:val="2"/>
        </w:numPr>
        <w:spacing w:before="40" w:after="40"/>
      </w:pPr>
      <w:r>
        <w:rPr>
          <w:rFonts w:ascii="Arial" w:cs="Arial" w:eastAsia="Arial" w:hAnsi="Arial"/>
          <w:color w:val="444444"/>
          <w:sz w:val="22"/>
          <w:szCs w:val="22"/>
        </w:rPr>
        <w:t xml:space="preserve">Mobile apps that request access to contacts, calendar, or files should be reviewed critically before granting permissions — consult IT if uncertain</w:t>
      </w:r>
    </w:p>
    <w:p>
      <w:pPr>
        <w:pStyle w:val="ListParagraph"/>
        <w:numPr>
          <w:ilvl w:val="0"/>
          <w:numId w:val="2"/>
        </w:numPr>
        <w:spacing w:before="40" w:after="40"/>
      </w:pPr>
      <w:r>
        <w:rPr>
          <w:rFonts w:ascii="Arial" w:cs="Arial" w:eastAsia="Arial" w:hAnsi="Arial"/>
          <w:color w:val="444444"/>
          <w:sz w:val="22"/>
          <w:szCs w:val="22"/>
        </w:rPr>
        <w:t xml:space="preserve">Employees using personal mobile devices for work should enable device-level encryption and a screen lock, and should keep the device OS and apps updated</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11. Shadow IT and Unauthorized Software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9D9"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  Prohibition on Shadow IT</w:t>
            </w:r>
          </w:p>
          <w:p>
            <w:pPr>
              <w:spacing w:before="0" w:after="0"/>
            </w:pPr>
            <w:r>
              <w:rPr>
                <w:rFonts w:ascii="Arial" w:cs="Arial" w:eastAsia="Arial" w:hAnsi="Arial"/>
                <w:color w:val="444444"/>
                <w:sz w:val="22"/>
                <w:szCs w:val="22"/>
              </w:rPr>
              <w:t xml:space="preserve">Using unauthorized software for company work — even a free tool that seems harmless — creates security and compliance risks that Nova &amp; Co. may not be able to detect or remediate. Shadow IT is a policy violation and will be addressed accordingly.</w:t>
            </w:r>
          </w:p>
        </w:tc>
      </w:tr>
    </w:tbl>
    <w:p>
      <w:pPr>
        <w:spacing w:before="100" w:after="0"/>
      </w:pPr>
      <w:r>
        <w:t xml:space="preserve"/>
      </w:r>
    </w:p>
    <w:p>
      <w:pPr>
        <w:spacing w:before="80" w:after="80"/>
      </w:pPr>
      <w:r>
        <w:rPr>
          <w:rFonts w:ascii="Arial" w:cs="Arial" w:eastAsia="Arial" w:hAnsi="Arial"/>
          <w:color w:val="444444"/>
          <w:sz w:val="22"/>
          <w:szCs w:val="22"/>
        </w:rPr>
        <w:t xml:space="preserve">Employees are prohibited from:</w:t>
      </w:r>
    </w:p>
    <w:p>
      <w:pPr>
        <w:pStyle w:val="ListParagraph"/>
        <w:numPr>
          <w:ilvl w:val="0"/>
          <w:numId w:val="2"/>
        </w:numPr>
        <w:spacing w:before="40" w:after="40"/>
      </w:pPr>
      <w:r>
        <w:rPr>
          <w:rFonts w:ascii="Arial" w:cs="Arial" w:eastAsia="Arial" w:hAnsi="Arial"/>
          <w:color w:val="444444"/>
          <w:sz w:val="22"/>
          <w:szCs w:val="22"/>
        </w:rPr>
        <w:t xml:space="preserve">Using any unapproved SaaS tool, desktop application, browser extension, or mobile app for work purposes</w:t>
      </w:r>
    </w:p>
    <w:p>
      <w:pPr>
        <w:pStyle w:val="ListParagraph"/>
        <w:numPr>
          <w:ilvl w:val="0"/>
          <w:numId w:val="2"/>
        </w:numPr>
        <w:spacing w:before="40" w:after="40"/>
      </w:pPr>
      <w:r>
        <w:rPr>
          <w:rFonts w:ascii="Arial" w:cs="Arial" w:eastAsia="Arial" w:hAnsi="Arial"/>
          <w:color w:val="444444"/>
          <w:sz w:val="22"/>
          <w:szCs w:val="22"/>
        </w:rPr>
        <w:t xml:space="preserve">Creating company accounts on external platforms without IT approval</w:t>
      </w:r>
    </w:p>
    <w:p>
      <w:pPr>
        <w:pStyle w:val="ListParagraph"/>
        <w:numPr>
          <w:ilvl w:val="0"/>
          <w:numId w:val="2"/>
        </w:numPr>
        <w:spacing w:before="40" w:after="40"/>
      </w:pPr>
      <w:r>
        <w:rPr>
          <w:rFonts w:ascii="Arial" w:cs="Arial" w:eastAsia="Arial" w:hAnsi="Arial"/>
          <w:color w:val="444444"/>
          <w:sz w:val="22"/>
          <w:szCs w:val="22"/>
        </w:rPr>
        <w:t xml:space="preserve">Storing company data in personal cloud storage accounts (personal Google Drive, Dropbox, iCloud, OneDrive, etc.)</w:t>
      </w:r>
    </w:p>
    <w:p>
      <w:pPr>
        <w:pStyle w:val="ListParagraph"/>
        <w:numPr>
          <w:ilvl w:val="0"/>
          <w:numId w:val="2"/>
        </w:numPr>
        <w:spacing w:before="40" w:after="40"/>
      </w:pPr>
      <w:r>
        <w:rPr>
          <w:rFonts w:ascii="Arial" w:cs="Arial" w:eastAsia="Arial" w:hAnsi="Arial"/>
          <w:color w:val="444444"/>
          <w:sz w:val="22"/>
          <w:szCs w:val="22"/>
        </w:rPr>
        <w:t xml:space="preserve">Using a personal email address to register for work-related tools</w:t>
      </w:r>
    </w:p>
    <w:p>
      <w:pPr>
        <w:pStyle w:val="ListParagraph"/>
        <w:numPr>
          <w:ilvl w:val="0"/>
          <w:numId w:val="2"/>
        </w:numPr>
        <w:spacing w:before="40" w:after="40"/>
      </w:pPr>
      <w:r>
        <w:rPr>
          <w:rFonts w:ascii="Arial" w:cs="Arial" w:eastAsia="Arial" w:hAnsi="Arial"/>
          <w:color w:val="444444"/>
          <w:sz w:val="22"/>
          <w:szCs w:val="22"/>
        </w:rPr>
        <w:t xml:space="preserve">Connecting personal accounts with broad company data access to enable work functionality</w:t>
      </w:r>
    </w:p>
    <w:p>
      <w:pPr>
        <w:spacing w:before="80" w:after="0"/>
      </w:pPr>
      <w:r>
        <w:t xml:space="preserve"/>
      </w:r>
    </w:p>
    <w:p>
      <w:pPr>
        <w:spacing w:before="80" w:after="80"/>
      </w:pPr>
      <w:r>
        <w:rPr>
          <w:rFonts w:ascii="Arial" w:cs="Arial" w:eastAsia="Arial" w:hAnsi="Arial"/>
          <w:color w:val="444444"/>
          <w:sz w:val="22"/>
          <w:szCs w:val="22"/>
        </w:rPr>
        <w:t xml:space="preserve">Employees who discover they have been using unapproved software should self-disclose to the IT Manager. Self-disclosures made in good faith prior to discovery will be treated as remediation opportunities rather than policy violations.</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12. Software Licensing and Procurement</w:t>
      </w:r>
    </w:p>
    <w:p>
      <w:pPr>
        <w:spacing w:before="80" w:after="80"/>
      </w:pPr>
      <w:r>
        <w:rPr>
          <w:rFonts w:ascii="Arial" w:cs="Arial" w:eastAsia="Arial" w:hAnsi="Arial"/>
          <w:color w:val="444444"/>
          <w:sz w:val="22"/>
          <w:szCs w:val="22"/>
        </w:rPr>
        <w:t xml:space="preserve">Nova &amp; Co. is responsible for ensuring that all software used for company work is properly licensed. Employees must not:</w:t>
      </w:r>
    </w:p>
    <w:p>
      <w:pPr>
        <w:pStyle w:val="ListParagraph"/>
        <w:numPr>
          <w:ilvl w:val="0"/>
          <w:numId w:val="2"/>
        </w:numPr>
        <w:spacing w:before="40" w:after="40"/>
      </w:pPr>
      <w:r>
        <w:rPr>
          <w:rFonts w:ascii="Arial" w:cs="Arial" w:eastAsia="Arial" w:hAnsi="Arial"/>
          <w:color w:val="444444"/>
          <w:sz w:val="22"/>
          <w:szCs w:val="22"/>
        </w:rPr>
        <w:t xml:space="preserve">Install or use commercial software without a valid license or in excess of license terms</w:t>
      </w:r>
    </w:p>
    <w:p>
      <w:pPr>
        <w:pStyle w:val="ListParagraph"/>
        <w:numPr>
          <w:ilvl w:val="0"/>
          <w:numId w:val="2"/>
        </w:numPr>
        <w:spacing w:before="40" w:after="40"/>
      </w:pPr>
      <w:r>
        <w:rPr>
          <w:rFonts w:ascii="Arial" w:cs="Arial" w:eastAsia="Arial" w:hAnsi="Arial"/>
          <w:color w:val="444444"/>
          <w:sz w:val="22"/>
          <w:szCs w:val="22"/>
        </w:rPr>
        <w:t xml:space="preserve">Share software licenses between employees where the license terms prohibit it</w:t>
      </w:r>
    </w:p>
    <w:p>
      <w:pPr>
        <w:pStyle w:val="ListParagraph"/>
        <w:numPr>
          <w:ilvl w:val="0"/>
          <w:numId w:val="2"/>
        </w:numPr>
        <w:spacing w:before="40" w:after="40"/>
      </w:pPr>
      <w:r>
        <w:rPr>
          <w:rFonts w:ascii="Arial" w:cs="Arial" w:eastAsia="Arial" w:hAnsi="Arial"/>
          <w:color w:val="444444"/>
          <w:sz w:val="22"/>
          <w:szCs w:val="22"/>
        </w:rPr>
        <w:t xml:space="preserve">Use personal software licenses for company work where the license terms restrict commercial use</w:t>
      </w:r>
    </w:p>
    <w:p>
      <w:pPr>
        <w:spacing w:before="80" w:after="0"/>
      </w:pPr>
      <w:r>
        <w:t xml:space="preserve"/>
      </w:r>
    </w:p>
    <w:p>
      <w:pPr>
        <w:spacing w:before="80" w:after="80"/>
      </w:pPr>
      <w:r>
        <w:rPr>
          <w:rFonts w:ascii="Arial" w:cs="Arial" w:eastAsia="Arial" w:hAnsi="Arial"/>
          <w:color w:val="444444"/>
          <w:sz w:val="22"/>
          <w:szCs w:val="22"/>
        </w:rPr>
        <w:t xml:space="preserve">All paid software subscriptions for company use must be procured through the IT Manager or approved by IT prior to purchase. Employees who purchase software on behalf of the company without prior approval may not be eligible for reimbursement.</w:t>
      </w:r>
    </w:p>
    <w:p>
      <w:pPr>
        <w:spacing w:before="80" w:after="0"/>
      </w:pPr>
      <w:r>
        <w:t xml:space="preserve"/>
      </w:r>
    </w:p>
    <w:p>
      <w:pPr>
        <w:spacing w:before="80" w:after="80"/>
      </w:pPr>
      <w:r>
        <w:rPr>
          <w:rFonts w:ascii="Arial" w:cs="Arial" w:eastAsia="Arial" w:hAnsi="Arial"/>
          <w:color w:val="444444"/>
          <w:sz w:val="22"/>
          <w:szCs w:val="22"/>
        </w:rPr>
        <w:t xml:space="preserve">Open-source software used in production environments (particularly in development contexts) must be reviewed for license compatibility. The IT Manager should be consulted before incorporating open-source libraries with restrictive licenses (e.g., GPL, AGPL) into company products.</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13. Offboarding and Access Revocation</w:t>
      </w:r>
    </w:p>
    <w:p>
      <w:pPr>
        <w:spacing w:before="80" w:after="80"/>
      </w:pPr>
      <w:r>
        <w:rPr>
          <w:rFonts w:ascii="Arial" w:cs="Arial" w:eastAsia="Arial" w:hAnsi="Arial"/>
          <w:color w:val="444444"/>
          <w:sz w:val="22"/>
          <w:szCs w:val="22"/>
        </w:rPr>
        <w:t xml:space="preserve">One of the most important lessons from Nova &amp; Co.'s recent security incident is the criticality of timely access revocation. Third-party software accounts carry the same risk as internal accounts if they remain active after an employee's departure.</w:t>
      </w:r>
    </w:p>
    <w:p>
      <w:pPr>
        <w:spacing w:before="80" w:after="0"/>
      </w:pPr>
      <w:r>
        <w:t xml:space="preserve"/>
      </w:r>
    </w:p>
    <w:p>
      <w:pPr>
        <w:pStyle w:val="Heading2"/>
        <w:spacing w:before="240" w:after="80"/>
      </w:pPr>
      <w:r>
        <w:rPr>
          <w:rFonts w:ascii="Arial" w:cs="Arial" w:eastAsia="Arial" w:hAnsi="Arial"/>
          <w:b/>
          <w:bCs/>
          <w:color w:val="2E75B6"/>
          <w:sz w:val="24"/>
          <w:szCs w:val="24"/>
        </w:rPr>
        <w:t xml:space="preserve">13.1 Employee Offboarding Requirements</w:t>
      </w:r>
    </w:p>
    <w:p>
      <w:pPr>
        <w:spacing w:before="80" w:after="80"/>
      </w:pPr>
      <w:r>
        <w:rPr>
          <w:rFonts w:ascii="Arial" w:cs="Arial" w:eastAsia="Arial" w:hAnsi="Arial"/>
          <w:color w:val="444444"/>
          <w:sz w:val="22"/>
          <w:szCs w:val="22"/>
        </w:rPr>
        <w:t xml:space="preserve">When an employee leaves Nova &amp; Co., the IT Manager must, within 24 hours of the employee's last day:</w:t>
      </w:r>
    </w:p>
    <w:p>
      <w:pPr>
        <w:pStyle w:val="ListParagraph"/>
        <w:numPr>
          <w:ilvl w:val="0"/>
          <w:numId w:val="2"/>
        </w:numPr>
        <w:spacing w:before="40" w:after="40"/>
      </w:pPr>
      <w:r>
        <w:rPr>
          <w:rFonts w:ascii="Arial" w:cs="Arial" w:eastAsia="Arial" w:hAnsi="Arial"/>
          <w:color w:val="444444"/>
          <w:sz w:val="22"/>
          <w:szCs w:val="22"/>
        </w:rPr>
        <w:t xml:space="preserve">Disable or delete the employee's accounts for all approved third-party software tools</w:t>
      </w:r>
    </w:p>
    <w:p>
      <w:pPr>
        <w:pStyle w:val="ListParagraph"/>
        <w:numPr>
          <w:ilvl w:val="0"/>
          <w:numId w:val="2"/>
        </w:numPr>
        <w:spacing w:before="40" w:after="40"/>
      </w:pPr>
      <w:r>
        <w:rPr>
          <w:rFonts w:ascii="Arial" w:cs="Arial" w:eastAsia="Arial" w:hAnsi="Arial"/>
          <w:color w:val="444444"/>
          <w:sz w:val="22"/>
          <w:szCs w:val="22"/>
        </w:rPr>
        <w:t xml:space="preserve">Revoke any OAuth authorizations granted by the employee to third-party tools</w:t>
      </w:r>
    </w:p>
    <w:p>
      <w:pPr>
        <w:pStyle w:val="ListParagraph"/>
        <w:numPr>
          <w:ilvl w:val="0"/>
          <w:numId w:val="2"/>
        </w:numPr>
        <w:spacing w:before="40" w:after="40"/>
      </w:pPr>
      <w:r>
        <w:rPr>
          <w:rFonts w:ascii="Arial" w:cs="Arial" w:eastAsia="Arial" w:hAnsi="Arial"/>
          <w:color w:val="444444"/>
          <w:sz w:val="22"/>
          <w:szCs w:val="22"/>
        </w:rPr>
        <w:t xml:space="preserve">Rotate any API keys or shared credentials the employee had access to</w:t>
      </w:r>
    </w:p>
    <w:p>
      <w:pPr>
        <w:pStyle w:val="ListParagraph"/>
        <w:numPr>
          <w:ilvl w:val="0"/>
          <w:numId w:val="2"/>
        </w:numPr>
        <w:spacing w:before="40" w:after="40"/>
      </w:pPr>
      <w:r>
        <w:rPr>
          <w:rFonts w:ascii="Arial" w:cs="Arial" w:eastAsia="Arial" w:hAnsi="Arial"/>
          <w:color w:val="444444"/>
          <w:sz w:val="22"/>
          <w:szCs w:val="22"/>
        </w:rPr>
        <w:t xml:space="preserve">Review the Integrations Register for any integrations established by the employee and confirm they are still needed</w:t>
      </w:r>
    </w:p>
    <w:p>
      <w:pPr>
        <w:pStyle w:val="ListParagraph"/>
        <w:numPr>
          <w:ilvl w:val="0"/>
          <w:numId w:val="2"/>
        </w:numPr>
        <w:spacing w:before="40" w:after="40"/>
      </w:pPr>
      <w:r>
        <w:rPr>
          <w:rFonts w:ascii="Arial" w:cs="Arial" w:eastAsia="Arial" w:hAnsi="Arial"/>
          <w:color w:val="444444"/>
          <w:sz w:val="22"/>
          <w:szCs w:val="22"/>
        </w:rPr>
        <w:t xml:space="preserve">Transfer ownership of any tool accounts or workspaces held in the employee's name to an active employee or the IT Manager</w:t>
      </w:r>
    </w:p>
    <w:p>
      <w:pPr>
        <w:spacing w:before="80" w:after="0"/>
      </w:pPr>
      <w:r>
        <w:t xml:space="preserve"/>
      </w:r>
    </w:p>
    <w:p>
      <w:pPr>
        <w:pStyle w:val="Heading2"/>
        <w:spacing w:before="240" w:after="80"/>
      </w:pPr>
      <w:r>
        <w:rPr>
          <w:rFonts w:ascii="Arial" w:cs="Arial" w:eastAsia="Arial" w:hAnsi="Arial"/>
          <w:b/>
          <w:bCs/>
          <w:color w:val="2E75B6"/>
          <w:sz w:val="24"/>
          <w:szCs w:val="24"/>
        </w:rPr>
        <w:t xml:space="preserve">13.2 Contractor and Vendor Offboarding</w:t>
      </w:r>
    </w:p>
    <w:p>
      <w:pPr>
        <w:spacing w:before="80" w:after="80"/>
      </w:pPr>
      <w:r>
        <w:rPr>
          <w:rFonts w:ascii="Arial" w:cs="Arial" w:eastAsia="Arial" w:hAnsi="Arial"/>
          <w:color w:val="444444"/>
          <w:sz w:val="22"/>
          <w:szCs w:val="22"/>
        </w:rPr>
        <w:t xml:space="preserve">The same offboarding process applies to contractors, consultants, and vendors upon completion or termination of their engagement. The manager responsible for the engagement is responsible for notifying the IT Manager in advance of the contractor's last day of access.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120"/>
              <w:left w:type="dxa" w:w="200"/>
              <w:bottom w:type="dxa" w:w="120"/>
              <w:right w:type="dxa" w:w="200"/>
            </w:tcMar>
          </w:tcPr>
          <w:p>
            <w:pPr>
              <w:spacing w:before="0" w:after="60"/>
            </w:pPr>
            <w:r>
              <w:rPr>
                <w:rFonts w:ascii="Arial" w:cs="Arial" w:eastAsia="Arial" w:hAnsi="Arial"/>
                <w:b/>
                <w:bCs/>
                <w:color w:val="1A3C6B"/>
                <w:sz w:val="22"/>
                <w:szCs w:val="22"/>
              </w:rPr>
              <w:t xml:space="preserve">Offboarding Checklist</w:t>
            </w:r>
          </w:p>
          <w:p>
            <w:pPr>
              <w:spacing w:before="0" w:after="0"/>
            </w:pPr>
            <w:r>
              <w:rPr>
                <w:rFonts w:ascii="Arial" w:cs="Arial" w:eastAsia="Arial" w:hAnsi="Arial"/>
                <w:color w:val="444444"/>
                <w:sz w:val="22"/>
                <w:szCs w:val="22"/>
              </w:rPr>
              <w:t xml:space="preserve">The IT Manager maintains a Third-Party Software Offboarding Checklist in the company's shared Google Drive. Managers must initiate this checklist at the time they submit an offboarding request through the standard HR process.</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14. Ongoing Monitoring and Annual Review</w:t>
      </w:r>
    </w:p>
    <w:p>
      <w:pPr>
        <w:pStyle w:val="Heading2"/>
        <w:spacing w:before="240" w:after="80"/>
      </w:pPr>
      <w:r>
        <w:rPr>
          <w:rFonts w:ascii="Arial" w:cs="Arial" w:eastAsia="Arial" w:hAnsi="Arial"/>
          <w:b/>
          <w:bCs/>
          <w:color w:val="2E75B6"/>
          <w:sz w:val="24"/>
          <w:szCs w:val="24"/>
        </w:rPr>
        <w:t xml:space="preserve">14.1 Approved Software Register Maintenance</w:t>
      </w:r>
    </w:p>
    <w:p>
      <w:pPr>
        <w:pStyle w:val="ListParagraph"/>
        <w:numPr>
          <w:ilvl w:val="0"/>
          <w:numId w:val="2"/>
        </w:numPr>
        <w:spacing w:before="40" w:after="40"/>
      </w:pPr>
      <w:r>
        <w:rPr>
          <w:rFonts w:ascii="Arial" w:cs="Arial" w:eastAsia="Arial" w:hAnsi="Arial"/>
          <w:color w:val="444444"/>
          <w:sz w:val="22"/>
          <w:szCs w:val="22"/>
        </w:rPr>
        <w:t xml:space="preserve">The IT Manager will review the Approved Software Register at least quarterly to confirm that listed tools are still in active use, still maintained by their vendors, and still compliant with this policy's standards</w:t>
      </w:r>
    </w:p>
    <w:p>
      <w:pPr>
        <w:pStyle w:val="ListParagraph"/>
        <w:numPr>
          <w:ilvl w:val="0"/>
          <w:numId w:val="2"/>
        </w:numPr>
        <w:spacing w:before="40" w:after="40"/>
      </w:pPr>
      <w:r>
        <w:rPr>
          <w:rFonts w:ascii="Arial" w:cs="Arial" w:eastAsia="Arial" w:hAnsi="Arial"/>
          <w:color w:val="444444"/>
          <w:sz w:val="22"/>
          <w:szCs w:val="22"/>
        </w:rPr>
        <w:t xml:space="preserve">Tools that are no longer in use, have been abandoned by their vendor, or have experienced a significant security incident should be removed from the register and employees notified</w:t>
      </w:r>
    </w:p>
    <w:p>
      <w:pPr>
        <w:pStyle w:val="Heading2"/>
        <w:spacing w:before="240" w:after="80"/>
      </w:pPr>
      <w:r>
        <w:rPr>
          <w:rFonts w:ascii="Arial" w:cs="Arial" w:eastAsia="Arial" w:hAnsi="Arial"/>
          <w:b/>
          <w:bCs/>
          <w:color w:val="2E75B6"/>
          <w:sz w:val="24"/>
          <w:szCs w:val="24"/>
        </w:rPr>
        <w:t xml:space="preserve">14.2 OAuth and Integration Audits</w:t>
      </w:r>
    </w:p>
    <w:p>
      <w:pPr>
        <w:pStyle w:val="ListParagraph"/>
        <w:numPr>
          <w:ilvl w:val="0"/>
          <w:numId w:val="2"/>
        </w:numPr>
        <w:spacing w:before="40" w:after="40"/>
      </w:pPr>
      <w:r>
        <w:rPr>
          <w:rFonts w:ascii="Arial" w:cs="Arial" w:eastAsia="Arial" w:hAnsi="Arial"/>
          <w:color w:val="444444"/>
          <w:sz w:val="22"/>
          <w:szCs w:val="22"/>
        </w:rPr>
        <w:t xml:space="preserve">A full audit of active OAuth authorizations and third-party integrations will be conducted at least quarterly, as described in Section 8.2</w:t>
      </w:r>
    </w:p>
    <w:p>
      <w:pPr>
        <w:pStyle w:val="ListParagraph"/>
        <w:numPr>
          <w:ilvl w:val="0"/>
          <w:numId w:val="2"/>
        </w:numPr>
        <w:spacing w:before="40" w:after="40"/>
      </w:pPr>
      <w:r>
        <w:rPr>
          <w:rFonts w:ascii="Arial" w:cs="Arial" w:eastAsia="Arial" w:hAnsi="Arial"/>
          <w:color w:val="444444"/>
          <w:sz w:val="22"/>
          <w:szCs w:val="22"/>
        </w:rPr>
        <w:t xml:space="preserve">The IT Manager will document audit findings and remediation actions</w:t>
      </w:r>
    </w:p>
    <w:p>
      <w:pPr>
        <w:pStyle w:val="Heading2"/>
        <w:spacing w:before="240" w:after="80"/>
      </w:pPr>
      <w:r>
        <w:rPr>
          <w:rFonts w:ascii="Arial" w:cs="Arial" w:eastAsia="Arial" w:hAnsi="Arial"/>
          <w:b/>
          <w:bCs/>
          <w:color w:val="2E75B6"/>
          <w:sz w:val="24"/>
          <w:szCs w:val="24"/>
        </w:rPr>
        <w:t xml:space="preserve">14.3 Policy Review</w:t>
      </w:r>
    </w:p>
    <w:p>
      <w:pPr>
        <w:pStyle w:val="ListParagraph"/>
        <w:numPr>
          <w:ilvl w:val="0"/>
          <w:numId w:val="2"/>
        </w:numPr>
        <w:spacing w:before="40" w:after="40"/>
      </w:pPr>
      <w:r>
        <w:rPr>
          <w:rFonts w:ascii="Arial" w:cs="Arial" w:eastAsia="Arial" w:hAnsi="Arial"/>
          <w:color w:val="444444"/>
          <w:sz w:val="22"/>
          <w:szCs w:val="22"/>
        </w:rPr>
        <w:t xml:space="preserve">This policy will be reviewed in full at least annually by the IT Manager in coordination with leadership</w:t>
      </w:r>
    </w:p>
    <w:p>
      <w:pPr>
        <w:pStyle w:val="ListParagraph"/>
        <w:numPr>
          <w:ilvl w:val="0"/>
          <w:numId w:val="2"/>
        </w:numPr>
        <w:spacing w:before="40" w:after="40"/>
      </w:pPr>
      <w:r>
        <w:rPr>
          <w:rFonts w:ascii="Arial" w:cs="Arial" w:eastAsia="Arial" w:hAnsi="Arial"/>
          <w:color w:val="444444"/>
          <w:sz w:val="22"/>
          <w:szCs w:val="22"/>
        </w:rPr>
        <w:t xml:space="preserve">Out-of-cycle updates may be triggered by significant incidents, regulatory changes, or material changes to the company's technology environment</w:t>
      </w:r>
    </w:p>
    <w:p>
      <w:pPr>
        <w:pStyle w:val="ListParagraph"/>
        <w:numPr>
          <w:ilvl w:val="0"/>
          <w:numId w:val="2"/>
        </w:numPr>
        <w:spacing w:before="40" w:after="40"/>
      </w:pPr>
      <w:r>
        <w:rPr>
          <w:rFonts w:ascii="Arial" w:cs="Arial" w:eastAsia="Arial" w:hAnsi="Arial"/>
          <w:color w:val="444444"/>
          <w:sz w:val="22"/>
          <w:szCs w:val="22"/>
        </w:rPr>
        <w:t xml:space="preserve">Employees will be notified of material policy changes via Slack and email, and updated versions will be posted to the company's shared Google Drive policy folder</w:t>
      </w:r>
    </w:p>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7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IT Manager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Maintain Approved Software Register and Integrations Register; process and document all software requests; conduct quarterly OAuth and integration audits; lead offboarding access revocation; review policy annually and communicate updates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Managers / Team Leads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Ensure direct reports understand and comply with this policy; review and endorse software requests from their team; initiate offboarding checklist promptly when team members leave; escalate suspected shadow IT to IT Manager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2"/>
                <w:szCs w:val="22"/>
              </w:rPr>
              <w:t xml:space="preserve">All Employees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Use only approved software for company work; submit requests for new tools before use; report unauthorized tools or suspected shadow IT; complete required training; cooperate with offboarding procedures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Leadership / Procurement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Ensure all software purchases are routed through the IT Manager; provide resources for the IT Manager to maintain the software register and conduct audits; support enforcement of this policy</w:t>
            </w:r>
          </w:p>
        </w:tc>
      </w:tr>
    </w:tbl>
    <w:p>
      <w:pPr>
        <w:spacing w:before="160" w:after="0"/>
      </w:pPr>
      <w:r>
        <w:t xml:space="preserve"/>
      </w:r>
    </w:p>
    <w:p>
      <w:pPr>
        <w:pStyle w:val="Heading1"/>
        <w:pBdr>
          <w:bottom w:val="single" w:color="2E75B6" w:sz="4" w:space="4"/>
        </w:pBdr>
        <w:spacing w:before="360" w:after="120"/>
      </w:pPr>
      <w:r>
        <w:rPr>
          <w:rFonts w:ascii="Arial" w:cs="Arial" w:eastAsia="Arial" w:hAnsi="Arial"/>
          <w:b/>
          <w:bCs/>
          <w:color w:val="1A3C6B"/>
          <w:sz w:val="28"/>
          <w:szCs w:val="28"/>
        </w:rPr>
        <w:t xml:space="preserve">16. Enforcement and Consequences</w:t>
      </w:r>
    </w:p>
    <w:p>
      <w:pPr>
        <w:spacing w:before="80" w:after="80"/>
      </w:pPr>
      <w:r>
        <w:rPr>
          <w:rFonts w:ascii="Arial" w:cs="Arial" w:eastAsia="Arial" w:hAnsi="Arial"/>
          <w:color w:val="444444"/>
          <w:sz w:val="22"/>
          <w:szCs w:val="22"/>
        </w:rPr>
        <w:t xml:space="preserve">Violations of this policy will be addressed through Nova &amp; Co.'s standard disciplinary process. The severity of the consequence will depend on the nature of the violation, whether it was intentional, and any resulting harm to the company or its clients.</w:t>
      </w:r>
    </w:p>
    <w:p>
      <w:pPr>
        <w:spacing w:before="80" w:after="0"/>
      </w:pPr>
      <w:r>
        <w:t xml:space="preserve"/>
      </w:r>
    </w:p>
    <w:p>
      <w:pPr>
        <w:spacing w:before="80" w:after="80"/>
      </w:pPr>
      <w:r>
        <w:rPr>
          <w:rFonts w:ascii="Arial" w:cs="Arial" w:eastAsia="Arial" w:hAnsi="Arial"/>
          <w:color w:val="444444"/>
          <w:sz w:val="22"/>
          <w:szCs w:val="22"/>
        </w:rPr>
        <w:t xml:space="preserve">Potential consequences include:</w:t>
      </w:r>
    </w:p>
    <w:p>
      <w:pPr>
        <w:pStyle w:val="ListParagraph"/>
        <w:numPr>
          <w:ilvl w:val="0"/>
          <w:numId w:val="2"/>
        </w:numPr>
        <w:spacing w:before="40" w:after="40"/>
      </w:pPr>
      <w:r>
        <w:rPr>
          <w:rFonts w:ascii="Arial" w:cs="Arial" w:eastAsia="Arial" w:hAnsi="Arial"/>
          <w:color w:val="444444"/>
          <w:sz w:val="22"/>
          <w:szCs w:val="22"/>
        </w:rPr>
        <w:t xml:space="preserve">Verbal or written warning and mandatory remedial training</w:t>
      </w:r>
    </w:p>
    <w:p>
      <w:pPr>
        <w:pStyle w:val="ListParagraph"/>
        <w:numPr>
          <w:ilvl w:val="0"/>
          <w:numId w:val="2"/>
        </w:numPr>
        <w:spacing w:before="40" w:after="40"/>
      </w:pPr>
      <w:r>
        <w:rPr>
          <w:rFonts w:ascii="Arial" w:cs="Arial" w:eastAsia="Arial" w:hAnsi="Arial"/>
          <w:color w:val="444444"/>
          <w:sz w:val="22"/>
          <w:szCs w:val="22"/>
        </w:rPr>
        <w:t xml:space="preserve">Immediate revocation of access to specific tools or systems</w:t>
      </w:r>
    </w:p>
    <w:p>
      <w:pPr>
        <w:pStyle w:val="ListParagraph"/>
        <w:numPr>
          <w:ilvl w:val="0"/>
          <w:numId w:val="2"/>
        </w:numPr>
        <w:spacing w:before="40" w:after="40"/>
      </w:pPr>
      <w:r>
        <w:rPr>
          <w:rFonts w:ascii="Arial" w:cs="Arial" w:eastAsia="Arial" w:hAnsi="Arial"/>
          <w:color w:val="444444"/>
          <w:sz w:val="22"/>
          <w:szCs w:val="22"/>
        </w:rPr>
        <w:t xml:space="preserve">Requirement to remediate any data exposure caused by unauthorized software use</w:t>
      </w:r>
    </w:p>
    <w:p>
      <w:pPr>
        <w:pStyle w:val="ListParagraph"/>
        <w:numPr>
          <w:ilvl w:val="0"/>
          <w:numId w:val="2"/>
        </w:numPr>
        <w:spacing w:before="40" w:after="40"/>
      </w:pPr>
      <w:r>
        <w:rPr>
          <w:rFonts w:ascii="Arial" w:cs="Arial" w:eastAsia="Arial" w:hAnsi="Arial"/>
          <w:color w:val="444444"/>
          <w:sz w:val="22"/>
          <w:szCs w:val="22"/>
        </w:rPr>
        <w:t xml:space="preserve">Termination of employment for willful, serious, or repeated violations</w:t>
      </w:r>
    </w:p>
    <w:p>
      <w:pPr>
        <w:spacing w:before="80" w:after="0"/>
      </w:pPr>
      <w:r>
        <w:t xml:space="preserve"/>
      </w:r>
    </w:p>
    <w:p>
      <w:pPr>
        <w:spacing w:before="80" w:after="80"/>
      </w:pPr>
      <w:r>
        <w:rPr>
          <w:rFonts w:ascii="Arial" w:cs="Arial" w:eastAsia="Arial" w:hAnsi="Arial"/>
          <w:color w:val="444444"/>
          <w:sz w:val="22"/>
          <w:szCs w:val="22"/>
        </w:rPr>
        <w:t xml:space="preserve">Nova &amp; Co. reserves the right to pursue legal remedies where a violation results in financial harm, data breach, or contractual liability.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7" w:val="clear"/>
            <w:tcMar>
              <w:top w:type="dxa" w:w="200"/>
              <w:left w:type="dxa" w:w="300"/>
              <w:bottom w:type="dxa" w:w="200"/>
              <w:right w:type="dxa" w:w="300"/>
            </w:tcMar>
          </w:tcPr>
          <w:p>
            <w:pPr>
              <w:spacing w:before="0" w:after="120"/>
              <w:jc w:val="center"/>
            </w:pPr>
            <w:r>
              <w:rPr>
                <w:rFonts w:ascii="Arial" w:cs="Arial" w:eastAsia="Arial" w:hAnsi="Arial"/>
                <w:b/>
                <w:bCs/>
                <w:color w:val="1A3C6B"/>
                <w:sz w:val="26"/>
                <w:szCs w:val="26"/>
              </w:rPr>
              <w:t xml:space="preserve">Employee Acknowledgment</w:t>
            </w:r>
          </w:p>
          <w:p>
            <w:pPr>
              <w:spacing w:before="80" w:after="80"/>
            </w:pPr>
            <w:r>
              <w:rPr>
                <w:rFonts w:ascii="Arial" w:cs="Arial" w:eastAsia="Arial" w:hAnsi="Arial"/>
                <w:color w:val="444444"/>
                <w:sz w:val="22"/>
                <w:szCs w:val="22"/>
              </w:rPr>
              <w:t xml:space="preserve">By signing below, I acknowledge that I have read, understood, and agree to comply with Nova &amp; Co.'s Third-Party Software Policy.</w:t>
            </w:r>
          </w:p>
          <w:p>
            <w:pPr>
              <w:spacing w:before="160" w:after="0"/>
            </w:pPr>
            <w:r>
              <w:t xml:space="preserve"/>
            </w:r>
          </w:p>
          <w:p>
            <w:pPr>
              <w:pBdr>
                <w:bottom w:val="single" w:color="1A3C6B" w:sz="2" w:space="2"/>
              </w:pBdr>
              <w:spacing w:before="0" w:after="60"/>
            </w:pPr>
            <w:r>
              <w:rPr>
                <w:rFonts w:ascii="Arial" w:cs="Arial" w:eastAsia="Arial" w:hAnsi="Arial"/>
                <w:color w:val="444444"/>
                <w:sz w:val="22"/>
                <w:szCs w:val="22"/>
              </w:rPr>
              <w:t xml:space="preserve">Employee Name (Print):  </w:t>
            </w:r>
          </w:p>
          <w:p>
            <w:pPr>
              <w:spacing w:before="100" w:after="0"/>
            </w:pPr>
            <w:r>
              <w:t xml:space="preserve"/>
            </w:r>
          </w:p>
          <w:p>
            <w:pPr>
              <w:pBdr>
                <w:bottom w:val="single" w:color="1A3C6B" w:sz="2" w:space="2"/>
              </w:pBdr>
              <w:spacing w:before="0" w:after="60"/>
            </w:pPr>
            <w:r>
              <w:rPr>
                <w:rFonts w:ascii="Arial" w:cs="Arial" w:eastAsia="Arial" w:hAnsi="Arial"/>
                <w:color w:val="444444"/>
                <w:sz w:val="22"/>
                <w:szCs w:val="22"/>
              </w:rPr>
              <w:t xml:space="preserve">Signature:  </w:t>
            </w:r>
          </w:p>
          <w:p>
            <w:pPr>
              <w:spacing w:before="100" w:after="0"/>
            </w:pPr>
            <w:r>
              <w:t xml:space="preserve"/>
            </w:r>
          </w:p>
          <w:p>
            <w:pPr>
              <w:pBdr>
                <w:bottom w:val="single" w:color="1A3C6B" w:sz="2" w:space="2"/>
              </w:pBdr>
              <w:spacing w:before="0" w:after="60"/>
            </w:pPr>
            <w:r>
              <w:rPr>
                <w:rFonts w:ascii="Arial" w:cs="Arial" w:eastAsia="Arial" w:hAnsi="Arial"/>
                <w:color w:val="444444"/>
                <w:sz w:val="22"/>
                <w:szCs w:val="22"/>
              </w:rPr>
              <w:t xml:space="preserve">Date:  </w:t>
            </w:r>
          </w:p>
          <w:p>
            <w:pPr>
              <w:spacing w:before="100" w:after="0"/>
            </w:pPr>
            <w:r>
              <w:t xml:space="preserve"/>
            </w:r>
          </w:p>
          <w:p>
            <w:pPr>
              <w:pBdr>
                <w:bottom w:val="single" w:color="1A3C6B" w:sz="2" w:space="2"/>
              </w:pBdr>
              <w:spacing w:before="0" w:after="0"/>
            </w:pPr>
            <w:r>
              <w:rPr>
                <w:rFonts w:ascii="Arial" w:cs="Arial" w:eastAsia="Arial" w:hAnsi="Arial"/>
                <w:color w:val="444444"/>
                <w:sz w:val="22"/>
                <w:szCs w:val="22"/>
              </w:rPr>
              <w:t xml:space="preserve">Department / Team:  </w:t>
            </w:r>
          </w:p>
        </w:tc>
      </w:tr>
    </w:tbl>
    <w:p>
      <w:pPr>
        <w:spacing w:before="160" w:after="0"/>
      </w:pPr>
      <w:r>
        <w:t xml:space="preserve"/>
      </w:r>
    </w:p>
    <w:p>
      <w:pPr>
        <w:spacing w:before="0" w:after="60"/>
        <w:jc w:val="center"/>
      </w:pPr>
      <w:r>
        <w:rPr>
          <w:rFonts w:ascii="Arial" w:cs="Arial" w:eastAsia="Arial" w:hAnsi="Arial"/>
          <w:b/>
          <w:bCs/>
          <w:color w:val="888888"/>
          <w:sz w:val="20"/>
          <w:szCs w:val="2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Version</w:t>
            </w:r>
          </w:p>
        </w:tc>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Date</w:t>
            </w:r>
          </w:p>
        </w:tc>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Author</w:t>
            </w:r>
          </w:p>
        </w:tc>
        <w:tc>
          <w:tcPr>
            <w:tcW w:type="dxa" w:w="234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666666"/>
                <w:sz w:val="18"/>
                <w:szCs w:val="18"/>
              </w:rPr>
              <w:t xml:space="preserve">Summary of Changes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March 1, 2026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IT Manager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8"/>
                <w:szCs w:val="18"/>
              </w:rPr>
              <w:t xml:space="preserve">Initial policy release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4" w:space="4"/>
      </w:pBdr>
      <w:tabs>
        <w:tab w:val="right" w:pos="9026"/>
      </w:tabs>
      <w:spacing w:before="0" w:after="120"/>
    </w:pPr>
    <w:r>
      <w:rPr>
        <w:rFonts w:ascii="Arial" w:cs="Arial" w:eastAsia="Arial" w:hAnsi="Arial"/>
        <w:b/>
        <w:bCs/>
        <w:color w:val="1A3C6B"/>
        <w:sz w:val="20"/>
        <w:szCs w:val="20"/>
      </w:rPr>
      <w:t xml:space="preserve">Nova &amp; Co.</w:t>
    </w:r>
    <w:r>
      <w:rPr>
        <w:rFonts w:ascii="Arial" w:cs="Arial" w:eastAsia="Arial" w:hAnsi="Arial"/>
        <w:color w:val="444444"/>
        <w:sz w:val="20"/>
        <w:szCs w:val="20"/>
      </w:rPr>
      <w:t xml:space="preserve">	Third-Party Software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2026-03-11T03:36:02.961Z</dcterms:created>
  <dcterms:modified xsi:type="dcterms:W3CDTF">2026-03-11T03:36:02.962Z</dcterms:modified>
</cp:coreProperties>
</file>

<file path=docProps/custom.xml><?xml version="1.0" encoding="utf-8"?>
<Properties xmlns="http://schemas.openxmlformats.org/officeDocument/2006/custom-properties" xmlns:vt="http://schemas.openxmlformats.org/officeDocument/2006/docPropsVTypes"/>
</file>