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02299" w14:textId="6EC3E4E2" w:rsidR="00355ADA" w:rsidRDefault="00231ADF" w:rsidP="00EB465C">
      <w:pPr>
        <w:pStyle w:val="Heading1"/>
      </w:pPr>
      <w:r w:rsidRPr="00B07A8D">
        <w:t>Literature review</w:t>
      </w:r>
      <w:r w:rsidR="000E6695">
        <w:tab/>
      </w:r>
    </w:p>
    <w:p w14:paraId="4D262D8F" w14:textId="77777777" w:rsidR="00361CBE" w:rsidRPr="00361CBE" w:rsidRDefault="00361CBE" w:rsidP="00361CBE">
      <w:r w:rsidRPr="00361CBE">
        <w:t xml:space="preserve">The relationship between climate variability and beef cattle production has gained an increasing interest due to the growing frequency of extreme weather events. Klemm and </w:t>
      </w:r>
      <w:proofErr w:type="spellStart"/>
      <w:r w:rsidRPr="00361CBE">
        <w:t>Briske</w:t>
      </w:r>
      <w:proofErr w:type="spellEnd"/>
      <w:r w:rsidRPr="00361CBE">
        <w:t xml:space="preserve"> (2019) conducted a retrospective assessment of spatial and temporal distribution of beef cow numbers in relation to climate variability from 1978 to 2017 in the U.S. Great Plains. During droughts in the late 1980s and early 2010s, the overall number of cows declined. Authors identified the relations between beef cow numbers and mean annual precipitation (MAP) and mean annual temperatures (MAT). Higher cow numbers coincided with higher MAT values in census years. This correlation was weaker in the Northern Plains than in the Central and Southern Plains. While MAT was negatively correlated with cow numbers for all regions. These findings suggest that as climate level increases, particularly in the form of more frequent and intense droughts, regions in the Southern and Central Plains may become increasingly vulnerable to reductions in cattle production. Authors also identified a critical gap in the current understanding of the relationship between climate variability and sustainable beef production. Their findings point to the need for more research on how rising temperatures and shifting precipitation patterns will continue to impact the industry, especially as their projections indicate that these trends will likely worsen over time. </w:t>
      </w:r>
    </w:p>
    <w:p w14:paraId="4CAEABE1" w14:textId="77777777" w:rsidR="00361CBE" w:rsidRPr="00361CBE" w:rsidRDefault="00361CBE" w:rsidP="003E72F3">
      <w:pPr>
        <w:ind w:firstLine="720"/>
      </w:pPr>
      <w:proofErr w:type="spellStart"/>
      <w:r w:rsidRPr="00361CBE">
        <w:t>Hrozencik</w:t>
      </w:r>
      <w:proofErr w:type="spellEnd"/>
      <w:r w:rsidRPr="00361CBE">
        <w:t xml:space="preserve">, Perez-Quesada, and </w:t>
      </w:r>
      <w:proofErr w:type="spellStart"/>
      <w:r w:rsidRPr="00361CBE">
        <w:t>Bocinsky</w:t>
      </w:r>
      <w:proofErr w:type="spellEnd"/>
      <w:r w:rsidRPr="00361CBE">
        <w:t xml:space="preserve"> (2024) examined the Livestock Forage Disaster Program (LFP), US Department of Agriculture (USDA) initiative aimed at supporting livestock producers who experience forage losses due to drought or wildfire. Programs like LFP, alongside broader USDA initiatives such as the Federal Crop Insurance Program (FCIP), provide critical financial support to help stabilize farm incomes under adverse climatic conditions. The study assessed how LFP payments influence cattle herd retention decisions in drought-affected areas and evaluated the potential financial-climate risk of the program for the Federal Government under various greenhouse gas emission scenarios. The study utilized a combination of survey data, administrative records, and climate data. Specifically, it examined whether the program led to comparable outcomes in terms of livestock herd retention and liquidation between drought- affected counties eligible for LFP and those ineligible for the program. The study found that the </w:t>
      </w:r>
    </w:p>
    <w:p w14:paraId="6404A3EA" w14:textId="77777777" w:rsidR="00361CBE" w:rsidRPr="00361CBE" w:rsidRDefault="00361CBE" w:rsidP="00361CBE">
      <w:r w:rsidRPr="00361CBE">
        <w:t xml:space="preserve">change in beef cattle herd size in drought-affected counties receiving LFP payments was same as to herd size changes in counties experiencing less severe drought that did not receive LFP </w:t>
      </w:r>
      <w:r w:rsidRPr="00361CBE">
        <w:lastRenderedPageBreak/>
        <w:t xml:space="preserve">support. Modeling results indicated that LFP payments enable beef cattle producers in drought- affected areas to make herd stocking and liquidation decisions </w:t>
      </w:r>
      <w:proofErr w:type="gramStart"/>
      <w:r w:rsidRPr="00361CBE">
        <w:t>similar to</w:t>
      </w:r>
      <w:proofErr w:type="gramEnd"/>
      <w:r w:rsidRPr="00361CBE">
        <w:t xml:space="preserve"> those of producers in regions facing less severe drought conditions. Under moderate and middle-range greenhouse gas emission scenarios, projections suggest that Federal Government expenditures on LFP will increase by 45% and 65% respectively, by the end of the 21st century, relative to the average expenditures between 2014 and 2022. </w:t>
      </w:r>
    </w:p>
    <w:p w14:paraId="2111254C" w14:textId="77777777" w:rsidR="00361CBE" w:rsidRPr="00361CBE" w:rsidRDefault="00361CBE" w:rsidP="00775896">
      <w:pPr>
        <w:ind w:firstLine="720"/>
      </w:pPr>
      <w:proofErr w:type="spellStart"/>
      <w:r w:rsidRPr="00361CBE">
        <w:t>Rodziewicz</w:t>
      </w:r>
      <w:proofErr w:type="spellEnd"/>
      <w:r w:rsidRPr="00361CBE">
        <w:t xml:space="preserve">, Dice, and Cowley (2023) provide an empirical analysis of the effects of drought on cattle herd management, hay production, prices, and farm income from 2000-2022 in the US. Using USDA </w:t>
      </w:r>
      <w:proofErr w:type="spellStart"/>
      <w:r w:rsidRPr="00361CBE">
        <w:t>CropScape</w:t>
      </w:r>
      <w:proofErr w:type="spellEnd"/>
      <w:r w:rsidRPr="00361CBE">
        <w:t xml:space="preserve"> Data, U.S. Drought Monitor (USDM), and a panel regression framework with fixed effects, authors concluded that drought significantly reduces hay production and increases hay prices. It leads to herd liquidation and temporarily higher revenues for ranchers but ultimately resulting in lower farm incomes. The results show that a one-unit increase in drought intensity results in a 1% decrease in herd size, 1% increase in farm revenues, 4% decrease in income, 12% decline in hay production and 5% increase in hay prices. </w:t>
      </w:r>
    </w:p>
    <w:p w14:paraId="29D08D8E" w14:textId="77777777" w:rsidR="00361CBE" w:rsidRPr="00361CBE" w:rsidRDefault="00361CBE" w:rsidP="00361CBE">
      <w:r w:rsidRPr="00361CBE">
        <w:t xml:space="preserve">The paper highlights the financial vulnerability of cattle ranchers due to the limited use of federal livestock insurance programs, suggesting that expanding these programs could help mitigate the adverse economic effects of drought. Additionally, the paper highlights the regional variability in drought impacts, with the western Plains and southwestern U.S. experiencing the most severe reductions in herd sizes and hay production. </w:t>
      </w:r>
    </w:p>
    <w:p w14:paraId="40D35C39" w14:textId="77777777" w:rsidR="00361CBE" w:rsidRPr="00361CBE" w:rsidRDefault="00361CBE" w:rsidP="007B5336">
      <w:pPr>
        <w:ind w:firstLine="720"/>
      </w:pPr>
      <w:r w:rsidRPr="00361CBE">
        <w:t xml:space="preserve">Mu, </w:t>
      </w:r>
      <w:proofErr w:type="spellStart"/>
      <w:r w:rsidRPr="00361CBE">
        <w:t>McCarl</w:t>
      </w:r>
      <w:proofErr w:type="spellEnd"/>
      <w:r w:rsidRPr="00361CBE">
        <w:t xml:space="preserve"> and Wein (2013) explore how U.S. agricultural producers are adapting to climate change, particularly through changes in land use and cattle stocking rates. Authors examine how climate variability, especially rising temperatures and fluctuating precipitation, has influenced the balance between crop and </w:t>
      </w:r>
      <w:proofErr w:type="gramStart"/>
      <w:r w:rsidRPr="00361CBE">
        <w:t>pasture land</w:t>
      </w:r>
      <w:proofErr w:type="gramEnd"/>
      <w:r w:rsidRPr="00361CBE">
        <w:t xml:space="preserve"> and, consequently, the stocking rate for cattle across different regions of the U.S. The analysis relies on USDA Census of Agriculture and National Climatic Data Center (NCDC) data. Using Fractional Multinomial Logit (FMLOGIT) model and Ordinary Least Squares (OLS) regression, as summer temperatures increase and precipitation decreases, producers are shifting from cropland to pastureland. Projections revealed that there will be a 6% decrease in cropland and a 33% increase in pastureland by the end of the century. The relation between higher precipitation intensity and </w:t>
      </w:r>
    </w:p>
    <w:p w14:paraId="0785D62B" w14:textId="77777777" w:rsidR="00361CBE" w:rsidRPr="00361CBE" w:rsidRDefault="00361CBE" w:rsidP="00361CBE">
      <w:r w:rsidRPr="00361CBE">
        <w:t xml:space="preserve">stocking rate is negative. Authors found that as summer temperature increases and precipitation decreases, stocking rate decreases. The Central and Southeastern U.S. are projected to experience </w:t>
      </w:r>
      <w:r w:rsidRPr="00361CBE">
        <w:lastRenderedPageBreak/>
        <w:t xml:space="preserve">the largest reductions in stocking rates, as these areas are more susceptible to extreme heat and drought conditions. This study contributes to the understanding of how agricultural systems in are adapting to climate change, particularly in terms of land use and livestock management. </w:t>
      </w:r>
    </w:p>
    <w:p w14:paraId="3475F2D5" w14:textId="77777777" w:rsidR="00361CBE" w:rsidRPr="00361CBE" w:rsidRDefault="00361CBE" w:rsidP="003C79A4">
      <w:pPr>
        <w:ind w:firstLine="720"/>
      </w:pPr>
      <w:proofErr w:type="spellStart"/>
      <w:r w:rsidRPr="00361CBE">
        <w:t>Ritten</w:t>
      </w:r>
      <w:proofErr w:type="spellEnd"/>
      <w:r w:rsidRPr="00361CBE">
        <w:t xml:space="preserve"> et al. (2010) examined optimal stocking decisions on rangelands in the context of unpredictable weather patterns and climate change impacts. Using a stochastic dynamic programming (SDP) model, they analyzed how varying stocking rates could help producers maximize profitability while accounting for fluctuations in precipitation and forage growth. Unlike traditional models that rely on constant, average weather assumptions, this model incorporates weather variability, allowing stocking rates to adapt to actual growing season conditions. The SDP model treats rangeland management as a bioeconomic process in which stocking decisions impact forage availability, animal performance, and profitability. This dynamic framework enables producers to make decisions that maximize long-term financial returns while ensuring the sustainability of rangeland resources. Under climate scenarios, the model shows that producers would need to reduce stocking rates to maintain rangeland sustainability, although this adaptation could lead to reduced profitability and greater fluctuations in livestock weights. This feature demonstrates the importance of adjusting stocking rates in response to both favorable and unfavorable conditions, as climate change amplifies variability in rangeland environments. Their findings also suggest that policies should promote flexible stocking rates that adapt to seasonal conditions, allowing producers to mitigate the financial and environmental risks associated with increased drought and other extreme weather events. </w:t>
      </w:r>
    </w:p>
    <w:p w14:paraId="2BF1AC99" w14:textId="77777777" w:rsidR="00361CBE" w:rsidRDefault="00361CBE" w:rsidP="00CC6CD4">
      <w:pPr>
        <w:ind w:firstLine="720"/>
      </w:pPr>
      <w:r w:rsidRPr="00361CBE">
        <w:t xml:space="preserve">Existing research often touches on the effects of climate variability more generally but does not thoroughly explore how drought events - both in terms of frequency and intensity - affect the stocking rate itself, which is a critical metric for managing pasturelands and ensuring sustainable cattle production. Our study aims to fill this void by focusing specifically on the direct impact of drought on stocking rates. </w:t>
      </w:r>
    </w:p>
    <w:p w14:paraId="56559924" w14:textId="77777777" w:rsidR="00060934" w:rsidRDefault="00060934" w:rsidP="00CC6CD4">
      <w:pPr>
        <w:ind w:firstLine="720"/>
      </w:pPr>
    </w:p>
    <w:p w14:paraId="4AE370E0" w14:textId="77777777" w:rsidR="00060934" w:rsidRDefault="00060934" w:rsidP="00CC6CD4">
      <w:pPr>
        <w:ind w:firstLine="720"/>
      </w:pPr>
    </w:p>
    <w:p w14:paraId="25A9780F" w14:textId="77777777" w:rsidR="00060934" w:rsidRDefault="00060934" w:rsidP="00CC6CD4">
      <w:pPr>
        <w:ind w:firstLine="720"/>
      </w:pPr>
    </w:p>
    <w:p w14:paraId="621FB604" w14:textId="77777777" w:rsidR="00060934" w:rsidRDefault="00060934" w:rsidP="00CC6CD4">
      <w:pPr>
        <w:ind w:firstLine="720"/>
      </w:pPr>
    </w:p>
    <w:p w14:paraId="5AB130B1" w14:textId="6FF5F42C" w:rsidR="00361CBE" w:rsidRPr="00361CBE" w:rsidRDefault="00361CBE" w:rsidP="00361CBE"/>
    <w:p w14:paraId="09573346" w14:textId="77777777" w:rsidR="00361CBE" w:rsidRDefault="00361CBE" w:rsidP="00DA30EC"/>
    <w:sectPr w:rsidR="00361CBE" w:rsidSect="00361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1D489" w14:textId="77777777" w:rsidR="00ED3119" w:rsidRDefault="00ED3119" w:rsidP="00305A46">
      <w:pPr>
        <w:spacing w:line="240" w:lineRule="auto"/>
      </w:pPr>
      <w:r>
        <w:separator/>
      </w:r>
    </w:p>
  </w:endnote>
  <w:endnote w:type="continuationSeparator" w:id="0">
    <w:p w14:paraId="7ADA6C22" w14:textId="77777777" w:rsidR="00ED3119" w:rsidRDefault="00ED3119"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C9603" w14:textId="77777777" w:rsidR="00ED3119" w:rsidRDefault="00ED3119" w:rsidP="00305A46">
      <w:pPr>
        <w:spacing w:line="240" w:lineRule="auto"/>
      </w:pPr>
      <w:r>
        <w:separator/>
      </w:r>
    </w:p>
  </w:footnote>
  <w:footnote w:type="continuationSeparator" w:id="0">
    <w:p w14:paraId="0775BE10" w14:textId="77777777" w:rsidR="00ED3119" w:rsidRDefault="00ED3119" w:rsidP="00305A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74D9"/>
    <w:rsid w:val="0001107B"/>
    <w:rsid w:val="00013D11"/>
    <w:rsid w:val="00014678"/>
    <w:rsid w:val="00014F28"/>
    <w:rsid w:val="00017762"/>
    <w:rsid w:val="00021CC3"/>
    <w:rsid w:val="00022A9B"/>
    <w:rsid w:val="0002388C"/>
    <w:rsid w:val="00033294"/>
    <w:rsid w:val="000347B0"/>
    <w:rsid w:val="00043858"/>
    <w:rsid w:val="00044974"/>
    <w:rsid w:val="000516B9"/>
    <w:rsid w:val="00052616"/>
    <w:rsid w:val="00052F69"/>
    <w:rsid w:val="00054E43"/>
    <w:rsid w:val="00060934"/>
    <w:rsid w:val="00060DA1"/>
    <w:rsid w:val="00060E71"/>
    <w:rsid w:val="00061616"/>
    <w:rsid w:val="00061AB0"/>
    <w:rsid w:val="00062B2C"/>
    <w:rsid w:val="00062E35"/>
    <w:rsid w:val="000640FA"/>
    <w:rsid w:val="0006445E"/>
    <w:rsid w:val="000665EC"/>
    <w:rsid w:val="00072A97"/>
    <w:rsid w:val="0007463F"/>
    <w:rsid w:val="00076971"/>
    <w:rsid w:val="00081E3F"/>
    <w:rsid w:val="00085725"/>
    <w:rsid w:val="00087E74"/>
    <w:rsid w:val="0009335C"/>
    <w:rsid w:val="0009490B"/>
    <w:rsid w:val="000A00EC"/>
    <w:rsid w:val="000A0167"/>
    <w:rsid w:val="000A05EF"/>
    <w:rsid w:val="000A32BF"/>
    <w:rsid w:val="000A5904"/>
    <w:rsid w:val="000B2A9B"/>
    <w:rsid w:val="000B3ABD"/>
    <w:rsid w:val="000B78BA"/>
    <w:rsid w:val="000B7C66"/>
    <w:rsid w:val="000C084C"/>
    <w:rsid w:val="000C2A53"/>
    <w:rsid w:val="000C3071"/>
    <w:rsid w:val="000C70CB"/>
    <w:rsid w:val="000C71CE"/>
    <w:rsid w:val="000C7CA4"/>
    <w:rsid w:val="000D035C"/>
    <w:rsid w:val="000D1669"/>
    <w:rsid w:val="000D32C3"/>
    <w:rsid w:val="000D3A8B"/>
    <w:rsid w:val="000E0E3A"/>
    <w:rsid w:val="000E1E8E"/>
    <w:rsid w:val="000E3F7E"/>
    <w:rsid w:val="000E4123"/>
    <w:rsid w:val="000E55D6"/>
    <w:rsid w:val="000E5C04"/>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4DA"/>
    <w:rsid w:val="00113CFD"/>
    <w:rsid w:val="00115062"/>
    <w:rsid w:val="00115FA3"/>
    <w:rsid w:val="001201C3"/>
    <w:rsid w:val="00122886"/>
    <w:rsid w:val="00123A65"/>
    <w:rsid w:val="00127186"/>
    <w:rsid w:val="0012724C"/>
    <w:rsid w:val="00130F62"/>
    <w:rsid w:val="00132F88"/>
    <w:rsid w:val="0013740F"/>
    <w:rsid w:val="0014038D"/>
    <w:rsid w:val="00141BB9"/>
    <w:rsid w:val="0014300C"/>
    <w:rsid w:val="00144D72"/>
    <w:rsid w:val="00152E33"/>
    <w:rsid w:val="001540AF"/>
    <w:rsid w:val="0015446A"/>
    <w:rsid w:val="0015601D"/>
    <w:rsid w:val="00161D56"/>
    <w:rsid w:val="00164F06"/>
    <w:rsid w:val="0016695B"/>
    <w:rsid w:val="0017253F"/>
    <w:rsid w:val="00175836"/>
    <w:rsid w:val="001769D5"/>
    <w:rsid w:val="00176C84"/>
    <w:rsid w:val="00177208"/>
    <w:rsid w:val="00183F67"/>
    <w:rsid w:val="00184717"/>
    <w:rsid w:val="00184E54"/>
    <w:rsid w:val="00192834"/>
    <w:rsid w:val="00192BE4"/>
    <w:rsid w:val="00194EA3"/>
    <w:rsid w:val="001A102A"/>
    <w:rsid w:val="001A5AF7"/>
    <w:rsid w:val="001A5EB2"/>
    <w:rsid w:val="001A7071"/>
    <w:rsid w:val="001B0CC1"/>
    <w:rsid w:val="001B1351"/>
    <w:rsid w:val="001B5B5B"/>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201177"/>
    <w:rsid w:val="00201CFD"/>
    <w:rsid w:val="002020A5"/>
    <w:rsid w:val="00204C06"/>
    <w:rsid w:val="002069A6"/>
    <w:rsid w:val="002119A0"/>
    <w:rsid w:val="002123C5"/>
    <w:rsid w:val="0021305F"/>
    <w:rsid w:val="00213B97"/>
    <w:rsid w:val="0021507F"/>
    <w:rsid w:val="00221B75"/>
    <w:rsid w:val="002260E6"/>
    <w:rsid w:val="00230BF4"/>
    <w:rsid w:val="00231ADF"/>
    <w:rsid w:val="002324A5"/>
    <w:rsid w:val="0023395D"/>
    <w:rsid w:val="00236949"/>
    <w:rsid w:val="002425BC"/>
    <w:rsid w:val="00243973"/>
    <w:rsid w:val="002442B4"/>
    <w:rsid w:val="0024484D"/>
    <w:rsid w:val="002453B0"/>
    <w:rsid w:val="00251CF0"/>
    <w:rsid w:val="002545B9"/>
    <w:rsid w:val="00256920"/>
    <w:rsid w:val="0026110F"/>
    <w:rsid w:val="00262122"/>
    <w:rsid w:val="002645F0"/>
    <w:rsid w:val="002663D1"/>
    <w:rsid w:val="002679AB"/>
    <w:rsid w:val="00270184"/>
    <w:rsid w:val="00271966"/>
    <w:rsid w:val="002735E7"/>
    <w:rsid w:val="002736EE"/>
    <w:rsid w:val="00275CA4"/>
    <w:rsid w:val="00277E8D"/>
    <w:rsid w:val="00280BB4"/>
    <w:rsid w:val="002814E5"/>
    <w:rsid w:val="002828F6"/>
    <w:rsid w:val="002838CD"/>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D2065"/>
    <w:rsid w:val="002D23BE"/>
    <w:rsid w:val="002D4B05"/>
    <w:rsid w:val="002D69F6"/>
    <w:rsid w:val="002E1276"/>
    <w:rsid w:val="002E1D02"/>
    <w:rsid w:val="002E2C6C"/>
    <w:rsid w:val="002E4526"/>
    <w:rsid w:val="002E45F1"/>
    <w:rsid w:val="002E4881"/>
    <w:rsid w:val="002E5B11"/>
    <w:rsid w:val="002E6458"/>
    <w:rsid w:val="002E7747"/>
    <w:rsid w:val="002F3933"/>
    <w:rsid w:val="002F4FAD"/>
    <w:rsid w:val="002F61F3"/>
    <w:rsid w:val="002F67E5"/>
    <w:rsid w:val="00300905"/>
    <w:rsid w:val="00302F73"/>
    <w:rsid w:val="003055E2"/>
    <w:rsid w:val="003055EB"/>
    <w:rsid w:val="003058BF"/>
    <w:rsid w:val="00305A46"/>
    <w:rsid w:val="003100E2"/>
    <w:rsid w:val="00312904"/>
    <w:rsid w:val="00313FE3"/>
    <w:rsid w:val="00316494"/>
    <w:rsid w:val="003202E0"/>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E81"/>
    <w:rsid w:val="00350E71"/>
    <w:rsid w:val="00354C0E"/>
    <w:rsid w:val="00355ADA"/>
    <w:rsid w:val="00356384"/>
    <w:rsid w:val="00361CBE"/>
    <w:rsid w:val="00362B86"/>
    <w:rsid w:val="00364683"/>
    <w:rsid w:val="00365F8D"/>
    <w:rsid w:val="003717FD"/>
    <w:rsid w:val="003718EA"/>
    <w:rsid w:val="003727F0"/>
    <w:rsid w:val="00374C03"/>
    <w:rsid w:val="003759E5"/>
    <w:rsid w:val="003826BA"/>
    <w:rsid w:val="00384B2A"/>
    <w:rsid w:val="00384D13"/>
    <w:rsid w:val="00384FC6"/>
    <w:rsid w:val="0038553A"/>
    <w:rsid w:val="00385B1B"/>
    <w:rsid w:val="00387667"/>
    <w:rsid w:val="00387682"/>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C0756"/>
    <w:rsid w:val="003C3DA5"/>
    <w:rsid w:val="003C3ECF"/>
    <w:rsid w:val="003C59D6"/>
    <w:rsid w:val="003C6D80"/>
    <w:rsid w:val="003C6F6D"/>
    <w:rsid w:val="003C79A4"/>
    <w:rsid w:val="003D1DB5"/>
    <w:rsid w:val="003D27C1"/>
    <w:rsid w:val="003D7E69"/>
    <w:rsid w:val="003E02F0"/>
    <w:rsid w:val="003E1AF6"/>
    <w:rsid w:val="003E3092"/>
    <w:rsid w:val="003E58E3"/>
    <w:rsid w:val="003E72F3"/>
    <w:rsid w:val="003F1048"/>
    <w:rsid w:val="003F1279"/>
    <w:rsid w:val="003F2100"/>
    <w:rsid w:val="003F2BA6"/>
    <w:rsid w:val="003F3A1D"/>
    <w:rsid w:val="003F3DEA"/>
    <w:rsid w:val="003F42BE"/>
    <w:rsid w:val="003F5FA8"/>
    <w:rsid w:val="00405235"/>
    <w:rsid w:val="004056A5"/>
    <w:rsid w:val="00407032"/>
    <w:rsid w:val="004072E2"/>
    <w:rsid w:val="00412D6E"/>
    <w:rsid w:val="004207A0"/>
    <w:rsid w:val="004238E3"/>
    <w:rsid w:val="00430726"/>
    <w:rsid w:val="0043073C"/>
    <w:rsid w:val="00435E02"/>
    <w:rsid w:val="004367ED"/>
    <w:rsid w:val="00436C04"/>
    <w:rsid w:val="0044187A"/>
    <w:rsid w:val="00446DDC"/>
    <w:rsid w:val="00447CF4"/>
    <w:rsid w:val="004514FE"/>
    <w:rsid w:val="00452ECE"/>
    <w:rsid w:val="00454575"/>
    <w:rsid w:val="00454A0C"/>
    <w:rsid w:val="004606F0"/>
    <w:rsid w:val="004615D0"/>
    <w:rsid w:val="00461BD1"/>
    <w:rsid w:val="00470C20"/>
    <w:rsid w:val="00470E71"/>
    <w:rsid w:val="00472DC0"/>
    <w:rsid w:val="00476F55"/>
    <w:rsid w:val="00480DA5"/>
    <w:rsid w:val="00481977"/>
    <w:rsid w:val="00481E8C"/>
    <w:rsid w:val="004828E1"/>
    <w:rsid w:val="00485D1D"/>
    <w:rsid w:val="004931CF"/>
    <w:rsid w:val="00494590"/>
    <w:rsid w:val="00496227"/>
    <w:rsid w:val="00497578"/>
    <w:rsid w:val="004A29D2"/>
    <w:rsid w:val="004A3D28"/>
    <w:rsid w:val="004A6BB0"/>
    <w:rsid w:val="004B29BD"/>
    <w:rsid w:val="004B6BF3"/>
    <w:rsid w:val="004C03C0"/>
    <w:rsid w:val="004C0BB4"/>
    <w:rsid w:val="004C1D6D"/>
    <w:rsid w:val="004C6D8F"/>
    <w:rsid w:val="004D04CA"/>
    <w:rsid w:val="004D0924"/>
    <w:rsid w:val="004D2CBA"/>
    <w:rsid w:val="004E19AD"/>
    <w:rsid w:val="004E3233"/>
    <w:rsid w:val="004F019A"/>
    <w:rsid w:val="004F2D30"/>
    <w:rsid w:val="004F59A9"/>
    <w:rsid w:val="004F69B0"/>
    <w:rsid w:val="004F71D9"/>
    <w:rsid w:val="005013D8"/>
    <w:rsid w:val="00502C29"/>
    <w:rsid w:val="00511413"/>
    <w:rsid w:val="00513C35"/>
    <w:rsid w:val="00513FED"/>
    <w:rsid w:val="0051420C"/>
    <w:rsid w:val="0051755D"/>
    <w:rsid w:val="0052342C"/>
    <w:rsid w:val="005237F1"/>
    <w:rsid w:val="00525104"/>
    <w:rsid w:val="00525806"/>
    <w:rsid w:val="00526882"/>
    <w:rsid w:val="00527893"/>
    <w:rsid w:val="00527C17"/>
    <w:rsid w:val="00527C8C"/>
    <w:rsid w:val="00527CA8"/>
    <w:rsid w:val="00527F83"/>
    <w:rsid w:val="00527FA4"/>
    <w:rsid w:val="00531EED"/>
    <w:rsid w:val="005333C0"/>
    <w:rsid w:val="00534BC8"/>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6345"/>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7292"/>
    <w:rsid w:val="005D7316"/>
    <w:rsid w:val="005E160F"/>
    <w:rsid w:val="005E2EAF"/>
    <w:rsid w:val="005E5221"/>
    <w:rsid w:val="005E5A70"/>
    <w:rsid w:val="005F1BBF"/>
    <w:rsid w:val="005F2E8A"/>
    <w:rsid w:val="005F31D0"/>
    <w:rsid w:val="005F3BD9"/>
    <w:rsid w:val="005F60C5"/>
    <w:rsid w:val="006007CD"/>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30F8"/>
    <w:rsid w:val="006235C1"/>
    <w:rsid w:val="00623933"/>
    <w:rsid w:val="00630B35"/>
    <w:rsid w:val="00631E15"/>
    <w:rsid w:val="006346CE"/>
    <w:rsid w:val="0063477D"/>
    <w:rsid w:val="00634B34"/>
    <w:rsid w:val="00635B37"/>
    <w:rsid w:val="00636008"/>
    <w:rsid w:val="00640626"/>
    <w:rsid w:val="00640B28"/>
    <w:rsid w:val="00643688"/>
    <w:rsid w:val="006436FA"/>
    <w:rsid w:val="00644A00"/>
    <w:rsid w:val="006450F9"/>
    <w:rsid w:val="006505CE"/>
    <w:rsid w:val="006530F1"/>
    <w:rsid w:val="006545DE"/>
    <w:rsid w:val="006551B1"/>
    <w:rsid w:val="00657460"/>
    <w:rsid w:val="00660387"/>
    <w:rsid w:val="00660C0A"/>
    <w:rsid w:val="0066291D"/>
    <w:rsid w:val="006661D8"/>
    <w:rsid w:val="006714D9"/>
    <w:rsid w:val="006722C9"/>
    <w:rsid w:val="0067276C"/>
    <w:rsid w:val="00672CFE"/>
    <w:rsid w:val="00677402"/>
    <w:rsid w:val="00680731"/>
    <w:rsid w:val="00681D1B"/>
    <w:rsid w:val="0068416B"/>
    <w:rsid w:val="006866F0"/>
    <w:rsid w:val="006876B0"/>
    <w:rsid w:val="00696623"/>
    <w:rsid w:val="006A30EF"/>
    <w:rsid w:val="006B0572"/>
    <w:rsid w:val="006B0BC6"/>
    <w:rsid w:val="006B0D42"/>
    <w:rsid w:val="006B0FC7"/>
    <w:rsid w:val="006B21C3"/>
    <w:rsid w:val="006B26FE"/>
    <w:rsid w:val="006B4E49"/>
    <w:rsid w:val="006B5468"/>
    <w:rsid w:val="006B5DB7"/>
    <w:rsid w:val="006C02B6"/>
    <w:rsid w:val="006C0AC3"/>
    <w:rsid w:val="006C449B"/>
    <w:rsid w:val="006C7183"/>
    <w:rsid w:val="006D3165"/>
    <w:rsid w:val="006D3ADF"/>
    <w:rsid w:val="006D6FB4"/>
    <w:rsid w:val="006D6FBF"/>
    <w:rsid w:val="006D7B33"/>
    <w:rsid w:val="006E0BFB"/>
    <w:rsid w:val="006E3885"/>
    <w:rsid w:val="006E48F4"/>
    <w:rsid w:val="006E6002"/>
    <w:rsid w:val="006E6A44"/>
    <w:rsid w:val="006E6CC2"/>
    <w:rsid w:val="006E7190"/>
    <w:rsid w:val="006F0D4D"/>
    <w:rsid w:val="006F153E"/>
    <w:rsid w:val="006F2001"/>
    <w:rsid w:val="006F405E"/>
    <w:rsid w:val="006F5796"/>
    <w:rsid w:val="006F65D6"/>
    <w:rsid w:val="006F7809"/>
    <w:rsid w:val="0070269F"/>
    <w:rsid w:val="00706A4F"/>
    <w:rsid w:val="00707E0F"/>
    <w:rsid w:val="00710D10"/>
    <w:rsid w:val="00714CBF"/>
    <w:rsid w:val="00715761"/>
    <w:rsid w:val="00715FB7"/>
    <w:rsid w:val="00720CF6"/>
    <w:rsid w:val="007245FD"/>
    <w:rsid w:val="0072709F"/>
    <w:rsid w:val="00730C64"/>
    <w:rsid w:val="00732E4A"/>
    <w:rsid w:val="00732E95"/>
    <w:rsid w:val="0074083C"/>
    <w:rsid w:val="0074555A"/>
    <w:rsid w:val="00751A34"/>
    <w:rsid w:val="007559EA"/>
    <w:rsid w:val="00757AD9"/>
    <w:rsid w:val="00761D20"/>
    <w:rsid w:val="00763558"/>
    <w:rsid w:val="00763704"/>
    <w:rsid w:val="00764116"/>
    <w:rsid w:val="00764BA6"/>
    <w:rsid w:val="00766B48"/>
    <w:rsid w:val="00766C58"/>
    <w:rsid w:val="007754FB"/>
    <w:rsid w:val="00775896"/>
    <w:rsid w:val="007758CF"/>
    <w:rsid w:val="00776C2C"/>
    <w:rsid w:val="00777B6F"/>
    <w:rsid w:val="00780821"/>
    <w:rsid w:val="00782596"/>
    <w:rsid w:val="0078382E"/>
    <w:rsid w:val="00783C45"/>
    <w:rsid w:val="007845AC"/>
    <w:rsid w:val="00786B04"/>
    <w:rsid w:val="00795926"/>
    <w:rsid w:val="007A0656"/>
    <w:rsid w:val="007A127E"/>
    <w:rsid w:val="007A2F02"/>
    <w:rsid w:val="007A6D44"/>
    <w:rsid w:val="007B0FBF"/>
    <w:rsid w:val="007B30B2"/>
    <w:rsid w:val="007B332A"/>
    <w:rsid w:val="007B5336"/>
    <w:rsid w:val="007B6707"/>
    <w:rsid w:val="007B7AB5"/>
    <w:rsid w:val="007C3D38"/>
    <w:rsid w:val="007C4623"/>
    <w:rsid w:val="007C4B83"/>
    <w:rsid w:val="007C5F56"/>
    <w:rsid w:val="007D0DE5"/>
    <w:rsid w:val="007D1443"/>
    <w:rsid w:val="007D4284"/>
    <w:rsid w:val="007D497B"/>
    <w:rsid w:val="007D76E9"/>
    <w:rsid w:val="007E06C0"/>
    <w:rsid w:val="007E30F3"/>
    <w:rsid w:val="007E5A34"/>
    <w:rsid w:val="007F15AB"/>
    <w:rsid w:val="007F4D14"/>
    <w:rsid w:val="007F4FE8"/>
    <w:rsid w:val="007F7B37"/>
    <w:rsid w:val="007F7FBD"/>
    <w:rsid w:val="00800F2A"/>
    <w:rsid w:val="00801818"/>
    <w:rsid w:val="00801D92"/>
    <w:rsid w:val="00802422"/>
    <w:rsid w:val="00804A96"/>
    <w:rsid w:val="00804FAB"/>
    <w:rsid w:val="00806224"/>
    <w:rsid w:val="0080771E"/>
    <w:rsid w:val="008105F7"/>
    <w:rsid w:val="00810FB7"/>
    <w:rsid w:val="008121C0"/>
    <w:rsid w:val="008131A3"/>
    <w:rsid w:val="008132FF"/>
    <w:rsid w:val="008141AF"/>
    <w:rsid w:val="00815D9E"/>
    <w:rsid w:val="00820703"/>
    <w:rsid w:val="00827CB2"/>
    <w:rsid w:val="00830030"/>
    <w:rsid w:val="008310FB"/>
    <w:rsid w:val="00831423"/>
    <w:rsid w:val="00834635"/>
    <w:rsid w:val="00834713"/>
    <w:rsid w:val="008352FD"/>
    <w:rsid w:val="00835510"/>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7E"/>
    <w:rsid w:val="0086663C"/>
    <w:rsid w:val="008749ED"/>
    <w:rsid w:val="00880149"/>
    <w:rsid w:val="0088172D"/>
    <w:rsid w:val="00883E97"/>
    <w:rsid w:val="008840C6"/>
    <w:rsid w:val="0088439F"/>
    <w:rsid w:val="00884BA2"/>
    <w:rsid w:val="00885F67"/>
    <w:rsid w:val="0089022C"/>
    <w:rsid w:val="00894357"/>
    <w:rsid w:val="00894F24"/>
    <w:rsid w:val="00897B21"/>
    <w:rsid w:val="008A0616"/>
    <w:rsid w:val="008A3640"/>
    <w:rsid w:val="008A4358"/>
    <w:rsid w:val="008A566A"/>
    <w:rsid w:val="008B1304"/>
    <w:rsid w:val="008B309D"/>
    <w:rsid w:val="008B5EC2"/>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7A22"/>
    <w:rsid w:val="008F098E"/>
    <w:rsid w:val="008F3C93"/>
    <w:rsid w:val="008F44AE"/>
    <w:rsid w:val="008F744E"/>
    <w:rsid w:val="0090052B"/>
    <w:rsid w:val="00900541"/>
    <w:rsid w:val="009058A3"/>
    <w:rsid w:val="0091141A"/>
    <w:rsid w:val="00911534"/>
    <w:rsid w:val="00916A46"/>
    <w:rsid w:val="00922F3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C5E"/>
    <w:rsid w:val="0095794F"/>
    <w:rsid w:val="00960059"/>
    <w:rsid w:val="00963641"/>
    <w:rsid w:val="009643CA"/>
    <w:rsid w:val="00970D10"/>
    <w:rsid w:val="00972D6B"/>
    <w:rsid w:val="009735D0"/>
    <w:rsid w:val="00974BDD"/>
    <w:rsid w:val="009755E6"/>
    <w:rsid w:val="009807BB"/>
    <w:rsid w:val="00981224"/>
    <w:rsid w:val="0098580A"/>
    <w:rsid w:val="009865B9"/>
    <w:rsid w:val="00987A25"/>
    <w:rsid w:val="009915B7"/>
    <w:rsid w:val="0099173C"/>
    <w:rsid w:val="00997137"/>
    <w:rsid w:val="009A16D1"/>
    <w:rsid w:val="009A3376"/>
    <w:rsid w:val="009A4155"/>
    <w:rsid w:val="009A6B1A"/>
    <w:rsid w:val="009B41E3"/>
    <w:rsid w:val="009B4880"/>
    <w:rsid w:val="009B761B"/>
    <w:rsid w:val="009C0D33"/>
    <w:rsid w:val="009C2059"/>
    <w:rsid w:val="009C3800"/>
    <w:rsid w:val="009C417A"/>
    <w:rsid w:val="009C463F"/>
    <w:rsid w:val="009C6811"/>
    <w:rsid w:val="009C72D6"/>
    <w:rsid w:val="009C7907"/>
    <w:rsid w:val="009D2144"/>
    <w:rsid w:val="009D2914"/>
    <w:rsid w:val="009E1C72"/>
    <w:rsid w:val="009E665A"/>
    <w:rsid w:val="009E75C4"/>
    <w:rsid w:val="009F2D29"/>
    <w:rsid w:val="009F328A"/>
    <w:rsid w:val="009F6888"/>
    <w:rsid w:val="009F68E6"/>
    <w:rsid w:val="009F7CB7"/>
    <w:rsid w:val="00A053CD"/>
    <w:rsid w:val="00A06A09"/>
    <w:rsid w:val="00A073D5"/>
    <w:rsid w:val="00A1111F"/>
    <w:rsid w:val="00A12206"/>
    <w:rsid w:val="00A1232A"/>
    <w:rsid w:val="00A1339D"/>
    <w:rsid w:val="00A1420C"/>
    <w:rsid w:val="00A15561"/>
    <w:rsid w:val="00A16355"/>
    <w:rsid w:val="00A17511"/>
    <w:rsid w:val="00A17A48"/>
    <w:rsid w:val="00A202FC"/>
    <w:rsid w:val="00A20BC6"/>
    <w:rsid w:val="00A21CF8"/>
    <w:rsid w:val="00A24BF6"/>
    <w:rsid w:val="00A25574"/>
    <w:rsid w:val="00A26811"/>
    <w:rsid w:val="00A3068C"/>
    <w:rsid w:val="00A32EFA"/>
    <w:rsid w:val="00A34303"/>
    <w:rsid w:val="00A352DE"/>
    <w:rsid w:val="00A40075"/>
    <w:rsid w:val="00A4052C"/>
    <w:rsid w:val="00A40E23"/>
    <w:rsid w:val="00A4423C"/>
    <w:rsid w:val="00A45323"/>
    <w:rsid w:val="00A45926"/>
    <w:rsid w:val="00A47379"/>
    <w:rsid w:val="00A538F8"/>
    <w:rsid w:val="00A63C29"/>
    <w:rsid w:val="00A661D7"/>
    <w:rsid w:val="00A703E3"/>
    <w:rsid w:val="00A70B17"/>
    <w:rsid w:val="00A717FA"/>
    <w:rsid w:val="00A7190C"/>
    <w:rsid w:val="00A731E0"/>
    <w:rsid w:val="00A76C6B"/>
    <w:rsid w:val="00A819F1"/>
    <w:rsid w:val="00A81B47"/>
    <w:rsid w:val="00A82F4D"/>
    <w:rsid w:val="00A83519"/>
    <w:rsid w:val="00A86776"/>
    <w:rsid w:val="00A90315"/>
    <w:rsid w:val="00A92737"/>
    <w:rsid w:val="00A950B9"/>
    <w:rsid w:val="00A9557F"/>
    <w:rsid w:val="00A95B09"/>
    <w:rsid w:val="00AA39B1"/>
    <w:rsid w:val="00AA537C"/>
    <w:rsid w:val="00AA6C1E"/>
    <w:rsid w:val="00AA7869"/>
    <w:rsid w:val="00AB0B92"/>
    <w:rsid w:val="00AB12C4"/>
    <w:rsid w:val="00AB4C69"/>
    <w:rsid w:val="00AB5230"/>
    <w:rsid w:val="00AB55AC"/>
    <w:rsid w:val="00AC3DDC"/>
    <w:rsid w:val="00AC41E4"/>
    <w:rsid w:val="00AC4EFB"/>
    <w:rsid w:val="00AC6163"/>
    <w:rsid w:val="00AC64F6"/>
    <w:rsid w:val="00AD0127"/>
    <w:rsid w:val="00AD0E59"/>
    <w:rsid w:val="00AD2A8A"/>
    <w:rsid w:val="00AD7287"/>
    <w:rsid w:val="00AD7D09"/>
    <w:rsid w:val="00AE0FE6"/>
    <w:rsid w:val="00AE3BB6"/>
    <w:rsid w:val="00AE3D22"/>
    <w:rsid w:val="00AE5901"/>
    <w:rsid w:val="00AE6910"/>
    <w:rsid w:val="00AF0594"/>
    <w:rsid w:val="00B014B8"/>
    <w:rsid w:val="00B01543"/>
    <w:rsid w:val="00B0593A"/>
    <w:rsid w:val="00B0758B"/>
    <w:rsid w:val="00B07A8D"/>
    <w:rsid w:val="00B10B97"/>
    <w:rsid w:val="00B1364C"/>
    <w:rsid w:val="00B13AE0"/>
    <w:rsid w:val="00B14BCD"/>
    <w:rsid w:val="00B1508A"/>
    <w:rsid w:val="00B24E12"/>
    <w:rsid w:val="00B25ECA"/>
    <w:rsid w:val="00B2686A"/>
    <w:rsid w:val="00B271D8"/>
    <w:rsid w:val="00B271EF"/>
    <w:rsid w:val="00B31FD9"/>
    <w:rsid w:val="00B32349"/>
    <w:rsid w:val="00B34768"/>
    <w:rsid w:val="00B34A8F"/>
    <w:rsid w:val="00B35420"/>
    <w:rsid w:val="00B355A5"/>
    <w:rsid w:val="00B368B2"/>
    <w:rsid w:val="00B3742C"/>
    <w:rsid w:val="00B40330"/>
    <w:rsid w:val="00B41BF2"/>
    <w:rsid w:val="00B44194"/>
    <w:rsid w:val="00B44CE7"/>
    <w:rsid w:val="00B46044"/>
    <w:rsid w:val="00B503A6"/>
    <w:rsid w:val="00B578FB"/>
    <w:rsid w:val="00B65DAE"/>
    <w:rsid w:val="00B705B3"/>
    <w:rsid w:val="00B72F43"/>
    <w:rsid w:val="00B739CF"/>
    <w:rsid w:val="00B75468"/>
    <w:rsid w:val="00B75C8A"/>
    <w:rsid w:val="00B77D38"/>
    <w:rsid w:val="00B8040A"/>
    <w:rsid w:val="00B812AB"/>
    <w:rsid w:val="00B84340"/>
    <w:rsid w:val="00B84BA4"/>
    <w:rsid w:val="00B85CEA"/>
    <w:rsid w:val="00B94EDF"/>
    <w:rsid w:val="00B97556"/>
    <w:rsid w:val="00BA183C"/>
    <w:rsid w:val="00BA1BBA"/>
    <w:rsid w:val="00BA1D34"/>
    <w:rsid w:val="00BA2474"/>
    <w:rsid w:val="00BA6F9A"/>
    <w:rsid w:val="00BB111A"/>
    <w:rsid w:val="00BB35BE"/>
    <w:rsid w:val="00BB35CB"/>
    <w:rsid w:val="00BB4CD6"/>
    <w:rsid w:val="00BB7727"/>
    <w:rsid w:val="00BB792E"/>
    <w:rsid w:val="00BC092E"/>
    <w:rsid w:val="00BC140D"/>
    <w:rsid w:val="00BC2D86"/>
    <w:rsid w:val="00BC652F"/>
    <w:rsid w:val="00BC6B49"/>
    <w:rsid w:val="00BC76EA"/>
    <w:rsid w:val="00BD05A3"/>
    <w:rsid w:val="00BD07B3"/>
    <w:rsid w:val="00BD18BA"/>
    <w:rsid w:val="00BD2436"/>
    <w:rsid w:val="00BD2A3D"/>
    <w:rsid w:val="00BD60FE"/>
    <w:rsid w:val="00BE16D9"/>
    <w:rsid w:val="00BE58B8"/>
    <w:rsid w:val="00BF0282"/>
    <w:rsid w:val="00BF09CB"/>
    <w:rsid w:val="00BF0F32"/>
    <w:rsid w:val="00BF16A4"/>
    <w:rsid w:val="00BF1CBA"/>
    <w:rsid w:val="00BF2535"/>
    <w:rsid w:val="00BF31FA"/>
    <w:rsid w:val="00BF4103"/>
    <w:rsid w:val="00BF62BB"/>
    <w:rsid w:val="00BF6D02"/>
    <w:rsid w:val="00C0141E"/>
    <w:rsid w:val="00C03832"/>
    <w:rsid w:val="00C13A91"/>
    <w:rsid w:val="00C15147"/>
    <w:rsid w:val="00C21FAE"/>
    <w:rsid w:val="00C25F0D"/>
    <w:rsid w:val="00C270E0"/>
    <w:rsid w:val="00C327E9"/>
    <w:rsid w:val="00C3345D"/>
    <w:rsid w:val="00C34D7E"/>
    <w:rsid w:val="00C43827"/>
    <w:rsid w:val="00C501F1"/>
    <w:rsid w:val="00C52C65"/>
    <w:rsid w:val="00C52E29"/>
    <w:rsid w:val="00C53AFD"/>
    <w:rsid w:val="00C54E44"/>
    <w:rsid w:val="00C553FF"/>
    <w:rsid w:val="00C57FE2"/>
    <w:rsid w:val="00C608A9"/>
    <w:rsid w:val="00C610E0"/>
    <w:rsid w:val="00C61976"/>
    <w:rsid w:val="00C61F16"/>
    <w:rsid w:val="00C6345A"/>
    <w:rsid w:val="00C72701"/>
    <w:rsid w:val="00C74D87"/>
    <w:rsid w:val="00C77924"/>
    <w:rsid w:val="00C77CFC"/>
    <w:rsid w:val="00C82498"/>
    <w:rsid w:val="00C82727"/>
    <w:rsid w:val="00C859AB"/>
    <w:rsid w:val="00C87B10"/>
    <w:rsid w:val="00C906EE"/>
    <w:rsid w:val="00C912B7"/>
    <w:rsid w:val="00C9264A"/>
    <w:rsid w:val="00C927A6"/>
    <w:rsid w:val="00C965EC"/>
    <w:rsid w:val="00C968B3"/>
    <w:rsid w:val="00CA577B"/>
    <w:rsid w:val="00CA6518"/>
    <w:rsid w:val="00CB0F75"/>
    <w:rsid w:val="00CB30B1"/>
    <w:rsid w:val="00CC0B81"/>
    <w:rsid w:val="00CC41FB"/>
    <w:rsid w:val="00CC6CD4"/>
    <w:rsid w:val="00CC7242"/>
    <w:rsid w:val="00CD08BB"/>
    <w:rsid w:val="00CD2562"/>
    <w:rsid w:val="00CD3DEB"/>
    <w:rsid w:val="00CD6169"/>
    <w:rsid w:val="00CD63B4"/>
    <w:rsid w:val="00CD6B2F"/>
    <w:rsid w:val="00CE0F53"/>
    <w:rsid w:val="00CE2D8C"/>
    <w:rsid w:val="00CE5B5C"/>
    <w:rsid w:val="00CF2B9B"/>
    <w:rsid w:val="00CF4D01"/>
    <w:rsid w:val="00CF66A6"/>
    <w:rsid w:val="00D05298"/>
    <w:rsid w:val="00D06B7D"/>
    <w:rsid w:val="00D07415"/>
    <w:rsid w:val="00D07C67"/>
    <w:rsid w:val="00D132F3"/>
    <w:rsid w:val="00D16263"/>
    <w:rsid w:val="00D20DB1"/>
    <w:rsid w:val="00D21553"/>
    <w:rsid w:val="00D23752"/>
    <w:rsid w:val="00D24606"/>
    <w:rsid w:val="00D25EBA"/>
    <w:rsid w:val="00D26438"/>
    <w:rsid w:val="00D26870"/>
    <w:rsid w:val="00D2695D"/>
    <w:rsid w:val="00D31B98"/>
    <w:rsid w:val="00D33B3D"/>
    <w:rsid w:val="00D4059E"/>
    <w:rsid w:val="00D41608"/>
    <w:rsid w:val="00D42527"/>
    <w:rsid w:val="00D44917"/>
    <w:rsid w:val="00D61FFF"/>
    <w:rsid w:val="00D65E70"/>
    <w:rsid w:val="00D669BE"/>
    <w:rsid w:val="00D72256"/>
    <w:rsid w:val="00D72378"/>
    <w:rsid w:val="00D725B8"/>
    <w:rsid w:val="00D73295"/>
    <w:rsid w:val="00D75D7E"/>
    <w:rsid w:val="00D760AD"/>
    <w:rsid w:val="00D819EA"/>
    <w:rsid w:val="00D82A84"/>
    <w:rsid w:val="00D847A1"/>
    <w:rsid w:val="00D84CA1"/>
    <w:rsid w:val="00D86697"/>
    <w:rsid w:val="00D877CC"/>
    <w:rsid w:val="00D90744"/>
    <w:rsid w:val="00D922DF"/>
    <w:rsid w:val="00D924F3"/>
    <w:rsid w:val="00D9483C"/>
    <w:rsid w:val="00D9717A"/>
    <w:rsid w:val="00D97FAB"/>
    <w:rsid w:val="00DA30EC"/>
    <w:rsid w:val="00DA32C1"/>
    <w:rsid w:val="00DA35C1"/>
    <w:rsid w:val="00DA6009"/>
    <w:rsid w:val="00DA709E"/>
    <w:rsid w:val="00DB4DA9"/>
    <w:rsid w:val="00DB5043"/>
    <w:rsid w:val="00DB5FA1"/>
    <w:rsid w:val="00DC263D"/>
    <w:rsid w:val="00DC40D3"/>
    <w:rsid w:val="00DC59F5"/>
    <w:rsid w:val="00DC5A9F"/>
    <w:rsid w:val="00DD0F12"/>
    <w:rsid w:val="00DD212E"/>
    <w:rsid w:val="00DD3A44"/>
    <w:rsid w:val="00DD44E7"/>
    <w:rsid w:val="00DD6DB7"/>
    <w:rsid w:val="00DD79A6"/>
    <w:rsid w:val="00DD7EB1"/>
    <w:rsid w:val="00DE30AD"/>
    <w:rsid w:val="00DE3637"/>
    <w:rsid w:val="00DE5394"/>
    <w:rsid w:val="00DE5AC9"/>
    <w:rsid w:val="00DF1B63"/>
    <w:rsid w:val="00DF2626"/>
    <w:rsid w:val="00DF3C3A"/>
    <w:rsid w:val="00DF52EE"/>
    <w:rsid w:val="00DF56ED"/>
    <w:rsid w:val="00DF6542"/>
    <w:rsid w:val="00DF6BAD"/>
    <w:rsid w:val="00E01397"/>
    <w:rsid w:val="00E01F5E"/>
    <w:rsid w:val="00E0430A"/>
    <w:rsid w:val="00E04517"/>
    <w:rsid w:val="00E046DC"/>
    <w:rsid w:val="00E05352"/>
    <w:rsid w:val="00E13485"/>
    <w:rsid w:val="00E13F50"/>
    <w:rsid w:val="00E140D7"/>
    <w:rsid w:val="00E21C78"/>
    <w:rsid w:val="00E253EB"/>
    <w:rsid w:val="00E26CAB"/>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66D8"/>
    <w:rsid w:val="00E67B79"/>
    <w:rsid w:val="00E713B1"/>
    <w:rsid w:val="00E71A1F"/>
    <w:rsid w:val="00E7311E"/>
    <w:rsid w:val="00E73416"/>
    <w:rsid w:val="00E73DFA"/>
    <w:rsid w:val="00E74142"/>
    <w:rsid w:val="00E748D1"/>
    <w:rsid w:val="00E7799B"/>
    <w:rsid w:val="00E80108"/>
    <w:rsid w:val="00E82428"/>
    <w:rsid w:val="00E8515C"/>
    <w:rsid w:val="00E85327"/>
    <w:rsid w:val="00E85565"/>
    <w:rsid w:val="00E911AF"/>
    <w:rsid w:val="00E9194F"/>
    <w:rsid w:val="00E91C38"/>
    <w:rsid w:val="00E94D39"/>
    <w:rsid w:val="00E9710A"/>
    <w:rsid w:val="00E975E3"/>
    <w:rsid w:val="00EA1B79"/>
    <w:rsid w:val="00EA2777"/>
    <w:rsid w:val="00EA2B94"/>
    <w:rsid w:val="00EA2BCD"/>
    <w:rsid w:val="00EA75B6"/>
    <w:rsid w:val="00EA7A66"/>
    <w:rsid w:val="00EB0B99"/>
    <w:rsid w:val="00EB0BA9"/>
    <w:rsid w:val="00EB2BE2"/>
    <w:rsid w:val="00EB465C"/>
    <w:rsid w:val="00EB51B8"/>
    <w:rsid w:val="00EB7A96"/>
    <w:rsid w:val="00EB7B55"/>
    <w:rsid w:val="00EC4236"/>
    <w:rsid w:val="00EC4380"/>
    <w:rsid w:val="00EC6591"/>
    <w:rsid w:val="00EC71BF"/>
    <w:rsid w:val="00EC7CA5"/>
    <w:rsid w:val="00ED1029"/>
    <w:rsid w:val="00ED1042"/>
    <w:rsid w:val="00ED13D4"/>
    <w:rsid w:val="00ED3119"/>
    <w:rsid w:val="00ED44C8"/>
    <w:rsid w:val="00ED4FD8"/>
    <w:rsid w:val="00ED5CC9"/>
    <w:rsid w:val="00ED60E8"/>
    <w:rsid w:val="00ED6764"/>
    <w:rsid w:val="00EE2749"/>
    <w:rsid w:val="00EE39BE"/>
    <w:rsid w:val="00EE42FC"/>
    <w:rsid w:val="00EE448D"/>
    <w:rsid w:val="00EE5DC9"/>
    <w:rsid w:val="00EF0513"/>
    <w:rsid w:val="00EF0CE4"/>
    <w:rsid w:val="00EF26D6"/>
    <w:rsid w:val="00EF5592"/>
    <w:rsid w:val="00EF6588"/>
    <w:rsid w:val="00EF7F02"/>
    <w:rsid w:val="00F02761"/>
    <w:rsid w:val="00F0281F"/>
    <w:rsid w:val="00F03ACF"/>
    <w:rsid w:val="00F05AB4"/>
    <w:rsid w:val="00F06043"/>
    <w:rsid w:val="00F069CF"/>
    <w:rsid w:val="00F10801"/>
    <w:rsid w:val="00F15DB0"/>
    <w:rsid w:val="00F1618B"/>
    <w:rsid w:val="00F22934"/>
    <w:rsid w:val="00F27139"/>
    <w:rsid w:val="00F30907"/>
    <w:rsid w:val="00F33272"/>
    <w:rsid w:val="00F36020"/>
    <w:rsid w:val="00F365D1"/>
    <w:rsid w:val="00F4139C"/>
    <w:rsid w:val="00F460DE"/>
    <w:rsid w:val="00F50819"/>
    <w:rsid w:val="00F51D2B"/>
    <w:rsid w:val="00F529C7"/>
    <w:rsid w:val="00F56152"/>
    <w:rsid w:val="00F61365"/>
    <w:rsid w:val="00F65473"/>
    <w:rsid w:val="00F66DBB"/>
    <w:rsid w:val="00F70353"/>
    <w:rsid w:val="00F71C4A"/>
    <w:rsid w:val="00F77244"/>
    <w:rsid w:val="00F80629"/>
    <w:rsid w:val="00F8334E"/>
    <w:rsid w:val="00F865DD"/>
    <w:rsid w:val="00F86F12"/>
    <w:rsid w:val="00F91DBE"/>
    <w:rsid w:val="00F92291"/>
    <w:rsid w:val="00F936E5"/>
    <w:rsid w:val="00F9586B"/>
    <w:rsid w:val="00F95AD1"/>
    <w:rsid w:val="00FA196B"/>
    <w:rsid w:val="00FA24B5"/>
    <w:rsid w:val="00FA2E61"/>
    <w:rsid w:val="00FA3983"/>
    <w:rsid w:val="00FA4410"/>
    <w:rsid w:val="00FA47D7"/>
    <w:rsid w:val="00FA7365"/>
    <w:rsid w:val="00FA74DF"/>
    <w:rsid w:val="00FB0084"/>
    <w:rsid w:val="00FB0C94"/>
    <w:rsid w:val="00FB1B1D"/>
    <w:rsid w:val="00FB1F0C"/>
    <w:rsid w:val="00FB28E3"/>
    <w:rsid w:val="00FB4AF0"/>
    <w:rsid w:val="00FB4F95"/>
    <w:rsid w:val="00FB5037"/>
    <w:rsid w:val="00FC0004"/>
    <w:rsid w:val="00FC19C5"/>
    <w:rsid w:val="00FC1B92"/>
    <w:rsid w:val="00FC2854"/>
    <w:rsid w:val="00FC2E4B"/>
    <w:rsid w:val="00FC5180"/>
    <w:rsid w:val="00FC6CE6"/>
    <w:rsid w:val="00FC7D71"/>
    <w:rsid w:val="00FD0F47"/>
    <w:rsid w:val="00FD387A"/>
    <w:rsid w:val="00FE036B"/>
    <w:rsid w:val="00FE4E45"/>
    <w:rsid w:val="00FE68F9"/>
    <w:rsid w:val="00FE7163"/>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39676742">
      <w:bodyDiv w:val="1"/>
      <w:marLeft w:val="0"/>
      <w:marRight w:val="0"/>
      <w:marTop w:val="0"/>
      <w:marBottom w:val="0"/>
      <w:divBdr>
        <w:top w:val="none" w:sz="0" w:space="0" w:color="auto"/>
        <w:left w:val="none" w:sz="0" w:space="0" w:color="auto"/>
        <w:bottom w:val="none" w:sz="0" w:space="0" w:color="auto"/>
        <w:right w:val="none" w:sz="0" w:space="0" w:color="auto"/>
      </w:divBdr>
      <w:divsChild>
        <w:div w:id="858811108">
          <w:marLeft w:val="0"/>
          <w:marRight w:val="0"/>
          <w:marTop w:val="0"/>
          <w:marBottom w:val="0"/>
          <w:divBdr>
            <w:top w:val="none" w:sz="0" w:space="0" w:color="auto"/>
            <w:left w:val="none" w:sz="0" w:space="0" w:color="auto"/>
            <w:bottom w:val="none" w:sz="0" w:space="0" w:color="auto"/>
            <w:right w:val="none" w:sz="0" w:space="0" w:color="auto"/>
          </w:divBdr>
          <w:divsChild>
            <w:div w:id="299042894">
              <w:marLeft w:val="0"/>
              <w:marRight w:val="0"/>
              <w:marTop w:val="0"/>
              <w:marBottom w:val="0"/>
              <w:divBdr>
                <w:top w:val="none" w:sz="0" w:space="0" w:color="auto"/>
                <w:left w:val="none" w:sz="0" w:space="0" w:color="auto"/>
                <w:bottom w:val="none" w:sz="0" w:space="0" w:color="auto"/>
                <w:right w:val="none" w:sz="0" w:space="0" w:color="auto"/>
              </w:divBdr>
              <w:divsChild>
                <w:div w:id="185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886">
          <w:marLeft w:val="0"/>
          <w:marRight w:val="0"/>
          <w:marTop w:val="0"/>
          <w:marBottom w:val="0"/>
          <w:divBdr>
            <w:top w:val="none" w:sz="0" w:space="0" w:color="auto"/>
            <w:left w:val="none" w:sz="0" w:space="0" w:color="auto"/>
            <w:bottom w:val="none" w:sz="0" w:space="0" w:color="auto"/>
            <w:right w:val="none" w:sz="0" w:space="0" w:color="auto"/>
          </w:divBdr>
          <w:divsChild>
            <w:div w:id="1121218239">
              <w:marLeft w:val="0"/>
              <w:marRight w:val="0"/>
              <w:marTop w:val="0"/>
              <w:marBottom w:val="0"/>
              <w:divBdr>
                <w:top w:val="none" w:sz="0" w:space="0" w:color="auto"/>
                <w:left w:val="none" w:sz="0" w:space="0" w:color="auto"/>
                <w:bottom w:val="none" w:sz="0" w:space="0" w:color="auto"/>
                <w:right w:val="none" w:sz="0" w:space="0" w:color="auto"/>
              </w:divBdr>
              <w:divsChild>
                <w:div w:id="13414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6561">
          <w:marLeft w:val="0"/>
          <w:marRight w:val="0"/>
          <w:marTop w:val="0"/>
          <w:marBottom w:val="0"/>
          <w:divBdr>
            <w:top w:val="none" w:sz="0" w:space="0" w:color="auto"/>
            <w:left w:val="none" w:sz="0" w:space="0" w:color="auto"/>
            <w:bottom w:val="none" w:sz="0" w:space="0" w:color="auto"/>
            <w:right w:val="none" w:sz="0" w:space="0" w:color="auto"/>
          </w:divBdr>
          <w:divsChild>
            <w:div w:id="217978209">
              <w:marLeft w:val="0"/>
              <w:marRight w:val="0"/>
              <w:marTop w:val="0"/>
              <w:marBottom w:val="0"/>
              <w:divBdr>
                <w:top w:val="none" w:sz="0" w:space="0" w:color="auto"/>
                <w:left w:val="none" w:sz="0" w:space="0" w:color="auto"/>
                <w:bottom w:val="none" w:sz="0" w:space="0" w:color="auto"/>
                <w:right w:val="none" w:sz="0" w:space="0" w:color="auto"/>
              </w:divBdr>
              <w:divsChild>
                <w:div w:id="5715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2711">
          <w:marLeft w:val="0"/>
          <w:marRight w:val="0"/>
          <w:marTop w:val="0"/>
          <w:marBottom w:val="0"/>
          <w:divBdr>
            <w:top w:val="none" w:sz="0" w:space="0" w:color="auto"/>
            <w:left w:val="none" w:sz="0" w:space="0" w:color="auto"/>
            <w:bottom w:val="none" w:sz="0" w:space="0" w:color="auto"/>
            <w:right w:val="none" w:sz="0" w:space="0" w:color="auto"/>
          </w:divBdr>
          <w:divsChild>
            <w:div w:id="2110850228">
              <w:marLeft w:val="0"/>
              <w:marRight w:val="0"/>
              <w:marTop w:val="0"/>
              <w:marBottom w:val="0"/>
              <w:divBdr>
                <w:top w:val="none" w:sz="0" w:space="0" w:color="auto"/>
                <w:left w:val="none" w:sz="0" w:space="0" w:color="auto"/>
                <w:bottom w:val="none" w:sz="0" w:space="0" w:color="auto"/>
                <w:right w:val="none" w:sz="0" w:space="0" w:color="auto"/>
              </w:divBdr>
              <w:divsChild>
                <w:div w:id="8523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43442">
      <w:bodyDiv w:val="1"/>
      <w:marLeft w:val="0"/>
      <w:marRight w:val="0"/>
      <w:marTop w:val="0"/>
      <w:marBottom w:val="0"/>
      <w:divBdr>
        <w:top w:val="none" w:sz="0" w:space="0" w:color="auto"/>
        <w:left w:val="none" w:sz="0" w:space="0" w:color="auto"/>
        <w:bottom w:val="none" w:sz="0" w:space="0" w:color="auto"/>
        <w:right w:val="none" w:sz="0" w:space="0" w:color="auto"/>
      </w:divBdr>
      <w:divsChild>
        <w:div w:id="193615268">
          <w:marLeft w:val="0"/>
          <w:marRight w:val="0"/>
          <w:marTop w:val="0"/>
          <w:marBottom w:val="0"/>
          <w:divBdr>
            <w:top w:val="none" w:sz="0" w:space="0" w:color="auto"/>
            <w:left w:val="none" w:sz="0" w:space="0" w:color="auto"/>
            <w:bottom w:val="none" w:sz="0" w:space="0" w:color="auto"/>
            <w:right w:val="none" w:sz="0" w:space="0" w:color="auto"/>
          </w:divBdr>
          <w:divsChild>
            <w:div w:id="372266490">
              <w:marLeft w:val="0"/>
              <w:marRight w:val="0"/>
              <w:marTop w:val="0"/>
              <w:marBottom w:val="0"/>
              <w:divBdr>
                <w:top w:val="none" w:sz="0" w:space="0" w:color="auto"/>
                <w:left w:val="none" w:sz="0" w:space="0" w:color="auto"/>
                <w:bottom w:val="none" w:sz="0" w:space="0" w:color="auto"/>
                <w:right w:val="none" w:sz="0" w:space="0" w:color="auto"/>
              </w:divBdr>
              <w:divsChild>
                <w:div w:id="14780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1584">
          <w:marLeft w:val="0"/>
          <w:marRight w:val="0"/>
          <w:marTop w:val="0"/>
          <w:marBottom w:val="0"/>
          <w:divBdr>
            <w:top w:val="none" w:sz="0" w:space="0" w:color="auto"/>
            <w:left w:val="none" w:sz="0" w:space="0" w:color="auto"/>
            <w:bottom w:val="none" w:sz="0" w:space="0" w:color="auto"/>
            <w:right w:val="none" w:sz="0" w:space="0" w:color="auto"/>
          </w:divBdr>
          <w:divsChild>
            <w:div w:id="2043092538">
              <w:marLeft w:val="0"/>
              <w:marRight w:val="0"/>
              <w:marTop w:val="0"/>
              <w:marBottom w:val="0"/>
              <w:divBdr>
                <w:top w:val="none" w:sz="0" w:space="0" w:color="auto"/>
                <w:left w:val="none" w:sz="0" w:space="0" w:color="auto"/>
                <w:bottom w:val="none" w:sz="0" w:space="0" w:color="auto"/>
                <w:right w:val="none" w:sz="0" w:space="0" w:color="auto"/>
              </w:divBdr>
              <w:divsChild>
                <w:div w:id="2441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5207">
          <w:marLeft w:val="0"/>
          <w:marRight w:val="0"/>
          <w:marTop w:val="0"/>
          <w:marBottom w:val="0"/>
          <w:divBdr>
            <w:top w:val="none" w:sz="0" w:space="0" w:color="auto"/>
            <w:left w:val="none" w:sz="0" w:space="0" w:color="auto"/>
            <w:bottom w:val="none" w:sz="0" w:space="0" w:color="auto"/>
            <w:right w:val="none" w:sz="0" w:space="0" w:color="auto"/>
          </w:divBdr>
          <w:divsChild>
            <w:div w:id="1517696580">
              <w:marLeft w:val="0"/>
              <w:marRight w:val="0"/>
              <w:marTop w:val="0"/>
              <w:marBottom w:val="0"/>
              <w:divBdr>
                <w:top w:val="none" w:sz="0" w:space="0" w:color="auto"/>
                <w:left w:val="none" w:sz="0" w:space="0" w:color="auto"/>
                <w:bottom w:val="none" w:sz="0" w:space="0" w:color="auto"/>
                <w:right w:val="none" w:sz="0" w:space="0" w:color="auto"/>
              </w:divBdr>
              <w:divsChild>
                <w:div w:id="20026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2">
          <w:marLeft w:val="0"/>
          <w:marRight w:val="0"/>
          <w:marTop w:val="0"/>
          <w:marBottom w:val="0"/>
          <w:divBdr>
            <w:top w:val="none" w:sz="0" w:space="0" w:color="auto"/>
            <w:left w:val="none" w:sz="0" w:space="0" w:color="auto"/>
            <w:bottom w:val="none" w:sz="0" w:space="0" w:color="auto"/>
            <w:right w:val="none" w:sz="0" w:space="0" w:color="auto"/>
          </w:divBdr>
          <w:divsChild>
            <w:div w:id="513615795">
              <w:marLeft w:val="0"/>
              <w:marRight w:val="0"/>
              <w:marTop w:val="0"/>
              <w:marBottom w:val="0"/>
              <w:divBdr>
                <w:top w:val="none" w:sz="0" w:space="0" w:color="auto"/>
                <w:left w:val="none" w:sz="0" w:space="0" w:color="auto"/>
                <w:bottom w:val="none" w:sz="0" w:space="0" w:color="auto"/>
                <w:right w:val="none" w:sz="0" w:space="0" w:color="auto"/>
              </w:divBdr>
              <w:divsChild>
                <w:div w:id="11753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7350</TotalTime>
  <Pages>3</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1258</cp:revision>
  <dcterms:created xsi:type="dcterms:W3CDTF">2024-01-22T19:19:00Z</dcterms:created>
  <dcterms:modified xsi:type="dcterms:W3CDTF">2024-11-15T18:37:00Z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