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825A1" w14:textId="64E337B3" w:rsidR="00540ACE" w:rsidRDefault="00BD07B3" w:rsidP="000C70CB">
      <w:pPr>
        <w:pStyle w:val="Heading1"/>
      </w:pPr>
      <w:r w:rsidRPr="007245FD">
        <w:t>Methodology</w:t>
      </w:r>
      <w:r w:rsidR="00164F06" w:rsidRPr="007245FD">
        <w:t xml:space="preserve"> </w:t>
      </w:r>
    </w:p>
    <w:p w14:paraId="4848B9C1" w14:textId="478BA1E8" w:rsidR="006F7809" w:rsidRDefault="000D7EF5" w:rsidP="00706836">
      <w:r w:rsidRPr="00706836">
        <w:t>We</w:t>
      </w:r>
      <w:r w:rsidR="00E26CAB" w:rsidRPr="00706836">
        <w:t xml:space="preserve"> employ a panel regression model to analyze the impact of climate variables and hay stock on the stocking rate across counties</w:t>
      </w:r>
      <w:r w:rsidR="00DE3637" w:rsidRPr="00706836">
        <w:t xml:space="preserve"> (Mu, McCarl and Wein 2013)</w:t>
      </w:r>
      <w:r w:rsidR="00E26CAB" w:rsidRPr="00706836">
        <w:t>. The dependent variable is the natural logarithm of the stocking rate (</w:t>
      </w:r>
      <m:oMath>
        <m:r>
          <w:rPr>
            <w:rFonts w:ascii="Cambria Math" w:hAnsi="Cambria Math"/>
          </w:rPr>
          <m:t>log⁡(</m:t>
        </m:r>
        <m:sSub>
          <m:sSubPr>
            <m:ctrlPr>
              <w:rPr>
                <w:rFonts w:ascii="Cambria Math" w:hAnsi="Cambria Math"/>
                <w:i/>
              </w:rPr>
            </m:ctrlPr>
          </m:sSubPr>
          <m:e>
            <m:r>
              <w:rPr>
                <w:rFonts w:ascii="Cambria Math" w:hAnsi="Cambria Math"/>
              </w:rPr>
              <m:t>SR</m:t>
            </m:r>
          </m:e>
          <m:sub>
            <m:r>
              <w:rPr>
                <w:rFonts w:ascii="Cambria Math" w:hAnsi="Cambria Math"/>
              </w:rPr>
              <m:t>it</m:t>
            </m:r>
          </m:sub>
        </m:sSub>
        <m:r>
          <w:rPr>
            <w:rFonts w:ascii="Cambria Math" w:hAnsi="Cambria Math"/>
          </w:rPr>
          <m:t>))</m:t>
        </m:r>
      </m:oMath>
      <w:r w:rsidR="00E26CAB" w:rsidRPr="00706836">
        <w:rPr>
          <w:i/>
          <w:iCs/>
        </w:rPr>
        <w:t>.</w:t>
      </w:r>
      <w:r w:rsidR="00E26CAB" w:rsidRPr="00706836">
        <w:t xml:space="preserve"> By transforming the stocking rate into its logarithmic form, we aim to account for the non-linear relationship between stocking rates and the explanatory variables, while facilitating interpretation in terms of percentage changes.</w:t>
      </w:r>
    </w:p>
    <w:p w14:paraId="5FF3C5F9" w14:textId="77777777" w:rsidR="00742A18" w:rsidRPr="00706836" w:rsidRDefault="00742A18" w:rsidP="00706836"/>
    <w:p w14:paraId="2663E7A4" w14:textId="6335FEC4" w:rsidR="006F7809" w:rsidRPr="00742A18" w:rsidRDefault="00000000" w:rsidP="00706836">
      <m:oMathPara>
        <m:oMath>
          <m:func>
            <m:funcPr>
              <m:ctrlPr>
                <w:rPr>
                  <w:rFonts w:ascii="Cambria Math" w:hAnsi="Cambria Math"/>
                </w:rPr>
              </m:ctrlPr>
            </m:funcPr>
            <m:fName>
              <m: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SR</m:t>
                      </m:r>
                    </m:e>
                    <m:sub>
                      <m:r>
                        <w:rPr>
                          <w:rFonts w:ascii="Cambria Math" w:hAnsi="Cambria Math"/>
                        </w:rPr>
                        <m:t>it</m:t>
                      </m:r>
                    </m:sub>
                  </m:sSub>
                </m:e>
              </m:d>
            </m:e>
          </m:func>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Drought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Weather</m:t>
              </m:r>
            </m:e>
            <m:sub>
              <m:r>
                <w:rPr>
                  <w:rFonts w:ascii="Cambria Math" w:hAnsi="Cambria Math"/>
                </w:rPr>
                <m:t>it</m:t>
              </m:r>
            </m:sub>
          </m:sSub>
          <m:r>
            <m:rPr>
              <m:sty m:val="p"/>
            </m:rPr>
            <w:rPr>
              <w:rFonts w:ascii="Cambria Math" w:hAnsi="Cambria Math"/>
            </w:rPr>
            <m:t xml:space="preserve"> </m:t>
          </m:r>
          <m:r>
            <m:rPr>
              <m:sty m:val="p"/>
            </m:rPr>
            <w:rPr>
              <w:rFonts w:ascii="Cambria Math" w:eastAsiaTheme="minorEastAsia"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eastAsiaTheme="majorEastAsia" w:hAnsi="Cambria Math"/>
                  <w:color w:val="000000" w:themeColor="text1"/>
                </w:rPr>
              </m:ctrlPr>
            </m:sSubPr>
            <m:e>
              <m:r>
                <w:rPr>
                  <w:rFonts w:ascii="Cambria Math" w:hAnsi="Cambria Math"/>
                </w:rPr>
                <m:t>Hay</m:t>
              </m:r>
              <m:r>
                <m:rPr>
                  <m:sty m:val="p"/>
                </m:rPr>
                <w:rPr>
                  <w:rFonts w:ascii="Cambria Math" w:hAnsi="Cambria Math"/>
                </w:rPr>
                <m:t xml:space="preserve"> </m:t>
              </m:r>
              <m:r>
                <w:rPr>
                  <w:rFonts w:ascii="Cambria Math" w:hAnsi="Cambria Math"/>
                </w:rPr>
                <m:t>stock</m:t>
              </m:r>
            </m:e>
            <m:sub>
              <m:r>
                <w:rPr>
                  <w:rFonts w:ascii="Cambria Math" w:hAnsi="Cambria Math"/>
                </w:rPr>
                <m:t>it</m:t>
              </m:r>
            </m:sub>
          </m:sSub>
          <m:r>
            <m:rPr>
              <m:sty m:val="p"/>
            </m:rPr>
            <w:rPr>
              <w:rFonts w:ascii="Cambria Math" w:eastAsiaTheme="minorEastAsia"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Sup>
            <m:sSubSupPr>
              <m:ctrlPr>
                <w:rPr>
                  <w:rFonts w:ascii="Cambria Math" w:eastAsiaTheme="minorEastAsia" w:hAnsi="Cambria Math"/>
                </w:rPr>
              </m:ctrlPr>
            </m:sSubSupPr>
            <m:e>
              <m:r>
                <w:rPr>
                  <w:rFonts w:ascii="Cambria Math" w:eastAsiaTheme="minorEastAsia" w:hAnsi="Cambria Math"/>
                </w:rPr>
                <m:t>Hay</m:t>
              </m:r>
              <m:r>
                <m:rPr>
                  <m:sty m:val="p"/>
                </m:rPr>
                <w:rPr>
                  <w:rFonts w:ascii="Cambria Math" w:eastAsiaTheme="minorEastAsia" w:hAnsi="Cambria Math"/>
                </w:rPr>
                <m:t xml:space="preserve"> </m:t>
              </m:r>
              <m:r>
                <w:rPr>
                  <w:rFonts w:ascii="Cambria Math" w:eastAsiaTheme="minorEastAsia" w:hAnsi="Cambria Math"/>
                </w:rPr>
                <m:t>stock</m:t>
              </m:r>
            </m:e>
            <m:sub>
              <m:r>
                <w:rPr>
                  <w:rFonts w:ascii="Cambria Math" w:eastAsiaTheme="minorEastAsia" w:hAnsi="Cambria Math"/>
                </w:rPr>
                <m:t>it</m:t>
              </m:r>
            </m:sub>
            <m:sup>
              <m:r>
                <m:rPr>
                  <m:sty m:val="p"/>
                </m:rPr>
                <w:rPr>
                  <w:rFonts w:ascii="Cambria Math" w:eastAsiaTheme="minorEastAsia" w:hAnsi="Cambria Math"/>
                </w:rPr>
                <m:t>2</m:t>
              </m:r>
            </m:sup>
          </m:sSubSup>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it</m:t>
              </m:r>
            </m:sub>
          </m:sSub>
          <m:r>
            <m:rPr>
              <m:sty m:val="p"/>
            </m:rPr>
            <w:rPr>
              <w:rFonts w:ascii="Cambria Math" w:eastAsiaTheme="minorEastAsia" w:hAnsi="Cambria Math"/>
            </w:rPr>
            <m:t>+</m:t>
          </m:r>
          <m:sSub>
            <m:sSubPr>
              <m:ctrlPr>
                <w:rPr>
                  <w:rFonts w:ascii="Cambria Math" w:hAnsi="Cambria Math"/>
                </w:rPr>
              </m:ctrlPr>
            </m:sSubPr>
            <m:e>
              <m:r>
                <w:rPr>
                  <w:rFonts w:ascii="Cambria Math" w:hAnsi="Cambria Math"/>
                </w:rPr>
                <m:t>u</m:t>
              </m:r>
            </m:e>
            <m:sub>
              <m:r>
                <w:rPr>
                  <w:rFonts w:ascii="Cambria Math" w:hAnsi="Cambria Math"/>
                </w:rPr>
                <m:t>it</m:t>
              </m:r>
            </m:sub>
          </m:sSub>
          <m:r>
            <m:rPr>
              <m:sty m:val="p"/>
            </m:rPr>
            <w:rPr>
              <w:rFonts w:ascii="Cambria Math" w:eastAsiaTheme="minorEastAsia" w:hAnsi="Cambria Math"/>
            </w:rPr>
            <m:t xml:space="preserve"> </m:t>
          </m:r>
        </m:oMath>
      </m:oMathPara>
    </w:p>
    <w:p w14:paraId="391C1C01" w14:textId="77777777" w:rsidR="00742A18" w:rsidRPr="00706836" w:rsidRDefault="00742A18" w:rsidP="00706836"/>
    <w:p w14:paraId="4C8B7F85" w14:textId="0262441D" w:rsidR="00B96CF7" w:rsidRDefault="00B96CF7" w:rsidP="00706836">
      <w:r w:rsidRPr="00706836">
        <w:t xml:space="preserve">where </w:t>
      </w:r>
      <w:r w:rsidR="000B36A9" w:rsidRPr="00706836">
        <w:t>Drought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rsidR="000B36A9" w:rsidRPr="00706836">
        <w:t>​) captures the influence of water deficits or surpluses, calculated as the difference between precipitation and PET. Weather (</w:t>
      </w:r>
      <m:oMath>
        <m:sSub>
          <m:sSubPr>
            <m:ctrlPr>
              <w:rPr>
                <w:rFonts w:ascii="Cambria Math" w:hAnsi="Cambria Math"/>
              </w:rPr>
            </m:ctrlPr>
          </m:sSubPr>
          <m:e>
            <m:r>
              <w:rPr>
                <w:rFonts w:ascii="Cambria Math" w:hAnsi="Cambria Math"/>
              </w:rPr>
              <m:t>β</m:t>
            </m:r>
          </m:e>
          <m:sub>
            <m:r>
              <m:rPr>
                <m:sty m:val="p"/>
              </m:rPr>
              <w:rPr>
                <w:rFonts w:ascii="Cambria Math" w:hAnsi="Cambria Math"/>
              </w:rPr>
              <m:t>2</m:t>
            </m:r>
          </m:sub>
        </m:sSub>
      </m:oMath>
      <w:r w:rsidR="000B36A9" w:rsidRPr="00706836">
        <w:t xml:space="preserve">) integrates </w:t>
      </w:r>
      <w:r w:rsidR="00F23FCD" w:rsidRPr="00706836">
        <w:t xml:space="preserve">GDD and EDD. </w:t>
      </w:r>
      <w:r w:rsidR="000B36A9" w:rsidRPr="00706836">
        <w:t>These variables account for climatic variations that directly affect the health and productivity of grazing land.</w:t>
      </w:r>
      <w:r w:rsidR="00F1533F" w:rsidRPr="00706836">
        <w:t xml:space="preserve"> Hay stock</w:t>
      </w:r>
      <w:r w:rsidR="003C283C" w:rsidRPr="00706836">
        <w:t xml:space="preserve"> </w:t>
      </w:r>
      <w:r w:rsidR="00F1533F" w:rsidRPr="00706836">
        <w:t>is modeled with both linear</w:t>
      </w:r>
      <w:r w:rsidR="003C283C" w:rsidRPr="00706836">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4</m:t>
            </m:r>
          </m:sub>
        </m:sSub>
      </m:oMath>
      <w:r w:rsidR="003C283C" w:rsidRPr="00706836">
        <w:t xml:space="preserve">) </w:t>
      </w:r>
      <w:r w:rsidR="00F1533F" w:rsidRPr="00706836">
        <w:t>and quadratic</w:t>
      </w:r>
      <w:r w:rsidR="003C283C" w:rsidRPr="00706836">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5</m:t>
            </m:r>
          </m:sub>
        </m:sSub>
      </m:oMath>
      <w:r w:rsidR="003C283C" w:rsidRPr="00706836">
        <w:t xml:space="preserve">) </w:t>
      </w:r>
      <w:r w:rsidR="00F1533F" w:rsidRPr="00706836">
        <w:t>terms to capture potential diminishing returns or other non-linear effects. During drought or forage scarcity, hay serves as a critical supplemental feed. Including both terms allows the model to reflect how incremental increases in hay stock may provide less benefit at higher levels, providing insights into optimal feeding strategies.</w:t>
      </w:r>
      <w:r w:rsidR="00D33CE0" w:rsidRPr="00706836">
        <w:t xml:space="preserve"> Finally, the fixed effects (</w:t>
      </w:r>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it</m:t>
            </m:r>
          </m:sub>
        </m:sSub>
      </m:oMath>
      <w:r w:rsidR="00D33CE0" w:rsidRPr="00706836">
        <w:t>​) account for unobserved heterogeneity across counties and years</w:t>
      </w:r>
      <w:r w:rsidR="00CA72F9">
        <w:rPr>
          <w:rStyle w:val="FootnoteReference"/>
        </w:rPr>
        <w:footnoteReference w:id="1"/>
      </w:r>
      <w:r w:rsidR="00D33CE0" w:rsidRPr="00706836">
        <w:t>. County-level fixed effects control for time-invariant factors such as soil quality and geographic features, while year fixed effects capture time-specific trends like economic shocks or climate anomalies. By including these controls, the model ensures that the estimated effects of climate variables and hay stock are not bi</w:t>
      </w:r>
      <w:r w:rsidR="00D33CE0" w:rsidRPr="00D33CE0">
        <w:t>ased by confounding factors.</w:t>
      </w:r>
      <w:r w:rsidR="009019D9">
        <w:t xml:space="preserve"> </w:t>
      </w:r>
      <w:r w:rsidR="009019D9" w:rsidRPr="009019D9">
        <w:t>This comprehensive approach provides a robust framework to analyze how climatic factors and feed availability interact to influence stocking rates. It highlights the importance of supplemental feeding strategies and the role of climatic variability in shaping livestock management decisions.</w:t>
      </w:r>
    </w:p>
    <w:p w14:paraId="43BA29CD" w14:textId="77777777" w:rsidR="00F1533F" w:rsidRPr="00B96CF7" w:rsidRDefault="00F1533F" w:rsidP="00B96CF7"/>
    <w:p w14:paraId="1F0979F2" w14:textId="1576C147" w:rsidR="0001107B" w:rsidRPr="003F6F95" w:rsidRDefault="0001107B">
      <w:pPr>
        <w:rPr>
          <w:b/>
          <w:bCs/>
        </w:rPr>
      </w:pPr>
    </w:p>
    <w:sectPr w:rsidR="0001107B" w:rsidRPr="003F6F95" w:rsidSect="00CB0F7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611D6" w14:textId="77777777" w:rsidR="00283BF0" w:rsidRDefault="00283BF0" w:rsidP="00305A46">
      <w:pPr>
        <w:spacing w:line="240" w:lineRule="auto"/>
      </w:pPr>
      <w:r>
        <w:separator/>
      </w:r>
    </w:p>
  </w:endnote>
  <w:endnote w:type="continuationSeparator" w:id="0">
    <w:p w14:paraId="3B085D57" w14:textId="77777777" w:rsidR="00283BF0" w:rsidRDefault="00283BF0"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1A3FD7" w14:textId="77777777" w:rsidR="00283BF0" w:rsidRDefault="00283BF0" w:rsidP="00305A46">
      <w:pPr>
        <w:spacing w:line="240" w:lineRule="auto"/>
      </w:pPr>
      <w:r>
        <w:separator/>
      </w:r>
    </w:p>
  </w:footnote>
  <w:footnote w:type="continuationSeparator" w:id="0">
    <w:p w14:paraId="5068F9CA" w14:textId="77777777" w:rsidR="00283BF0" w:rsidRDefault="00283BF0" w:rsidP="00305A46">
      <w:pPr>
        <w:spacing w:line="240" w:lineRule="auto"/>
      </w:pPr>
      <w:r>
        <w:continuationSeparator/>
      </w:r>
    </w:p>
  </w:footnote>
  <w:footnote w:id="1">
    <w:p w14:paraId="0EDBBFB7" w14:textId="2E41F9D2" w:rsidR="00CA72F9" w:rsidRDefault="00CA72F9">
      <w:pPr>
        <w:pStyle w:val="FootnoteText"/>
      </w:pPr>
      <w:r>
        <w:rPr>
          <w:rStyle w:val="FootnoteReference"/>
        </w:rPr>
        <w:footnoteRef/>
      </w:r>
      <w:r>
        <w:t xml:space="preserve"> We assume that the f</w:t>
      </w:r>
      <w:r w:rsidRPr="00CA72F9">
        <w:t>ixed effects control for time-invariant factors (e.g., soil quality and geographic features)</w:t>
      </w:r>
      <w:r>
        <w:t xml:space="preserve">, </w:t>
      </w:r>
      <w:r w:rsidRPr="00CA72F9">
        <w:t xml:space="preserve">uniform shocks across years (e.g., national economic trends), </w:t>
      </w:r>
      <w:r w:rsidR="00005EB6">
        <w:t xml:space="preserve">and </w:t>
      </w:r>
      <w:r w:rsidRPr="00CA72F9">
        <w:t>input costs</w:t>
      </w:r>
      <w:r w:rsidR="00005EB6">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247A"/>
    <w:rsid w:val="00003837"/>
    <w:rsid w:val="00003B50"/>
    <w:rsid w:val="00005EB6"/>
    <w:rsid w:val="00006F77"/>
    <w:rsid w:val="000074D9"/>
    <w:rsid w:val="0001107B"/>
    <w:rsid w:val="00013D11"/>
    <w:rsid w:val="00014678"/>
    <w:rsid w:val="00017762"/>
    <w:rsid w:val="00021CC3"/>
    <w:rsid w:val="00022A9B"/>
    <w:rsid w:val="0002388C"/>
    <w:rsid w:val="00033294"/>
    <w:rsid w:val="000347B0"/>
    <w:rsid w:val="00040C6B"/>
    <w:rsid w:val="00043858"/>
    <w:rsid w:val="00044974"/>
    <w:rsid w:val="000516B9"/>
    <w:rsid w:val="00052616"/>
    <w:rsid w:val="00052F69"/>
    <w:rsid w:val="00054E43"/>
    <w:rsid w:val="00060DA1"/>
    <w:rsid w:val="00060E71"/>
    <w:rsid w:val="00061616"/>
    <w:rsid w:val="00061AB0"/>
    <w:rsid w:val="00062B2C"/>
    <w:rsid w:val="00062E35"/>
    <w:rsid w:val="000640FA"/>
    <w:rsid w:val="0006445E"/>
    <w:rsid w:val="000665EC"/>
    <w:rsid w:val="00072A97"/>
    <w:rsid w:val="0007463F"/>
    <w:rsid w:val="00076971"/>
    <w:rsid w:val="00081E3F"/>
    <w:rsid w:val="00085725"/>
    <w:rsid w:val="00087E74"/>
    <w:rsid w:val="0009335C"/>
    <w:rsid w:val="0009490B"/>
    <w:rsid w:val="000A00EC"/>
    <w:rsid w:val="000A0167"/>
    <w:rsid w:val="000A05EF"/>
    <w:rsid w:val="000A32BF"/>
    <w:rsid w:val="000A5904"/>
    <w:rsid w:val="000B2A9B"/>
    <w:rsid w:val="000B36A9"/>
    <w:rsid w:val="000B3ABD"/>
    <w:rsid w:val="000B78BA"/>
    <w:rsid w:val="000B7C66"/>
    <w:rsid w:val="000C2A53"/>
    <w:rsid w:val="000C3071"/>
    <w:rsid w:val="000C70CB"/>
    <w:rsid w:val="000C71CE"/>
    <w:rsid w:val="000C7CA4"/>
    <w:rsid w:val="000D035C"/>
    <w:rsid w:val="000D1669"/>
    <w:rsid w:val="000D32C3"/>
    <w:rsid w:val="000D3A8B"/>
    <w:rsid w:val="000D7EF5"/>
    <w:rsid w:val="000E0E3A"/>
    <w:rsid w:val="000E1E8E"/>
    <w:rsid w:val="000E3F7E"/>
    <w:rsid w:val="000E4123"/>
    <w:rsid w:val="000E55D6"/>
    <w:rsid w:val="000E5C04"/>
    <w:rsid w:val="000E6695"/>
    <w:rsid w:val="000E6EED"/>
    <w:rsid w:val="000F0FCC"/>
    <w:rsid w:val="000F1B4B"/>
    <w:rsid w:val="000F233C"/>
    <w:rsid w:val="000F2670"/>
    <w:rsid w:val="000F5203"/>
    <w:rsid w:val="000F796A"/>
    <w:rsid w:val="000F7DEA"/>
    <w:rsid w:val="00102938"/>
    <w:rsid w:val="00104E09"/>
    <w:rsid w:val="00105FE4"/>
    <w:rsid w:val="0010638E"/>
    <w:rsid w:val="00106EDF"/>
    <w:rsid w:val="001101BE"/>
    <w:rsid w:val="001124D0"/>
    <w:rsid w:val="001134DA"/>
    <w:rsid w:val="00113CFD"/>
    <w:rsid w:val="00115062"/>
    <w:rsid w:val="00115FA3"/>
    <w:rsid w:val="001201C3"/>
    <w:rsid w:val="00122886"/>
    <w:rsid w:val="00123A65"/>
    <w:rsid w:val="00127186"/>
    <w:rsid w:val="0012724C"/>
    <w:rsid w:val="00130F62"/>
    <w:rsid w:val="00132F88"/>
    <w:rsid w:val="0013740F"/>
    <w:rsid w:val="0014038D"/>
    <w:rsid w:val="00141BB9"/>
    <w:rsid w:val="0014300C"/>
    <w:rsid w:val="00144D72"/>
    <w:rsid w:val="00152E33"/>
    <w:rsid w:val="001540AF"/>
    <w:rsid w:val="0015446A"/>
    <w:rsid w:val="0015601D"/>
    <w:rsid w:val="00161D56"/>
    <w:rsid w:val="00164F06"/>
    <w:rsid w:val="0016695B"/>
    <w:rsid w:val="0017253F"/>
    <w:rsid w:val="00175836"/>
    <w:rsid w:val="001769D5"/>
    <w:rsid w:val="00176C84"/>
    <w:rsid w:val="00177208"/>
    <w:rsid w:val="00183F67"/>
    <w:rsid w:val="00184717"/>
    <w:rsid w:val="00184E54"/>
    <w:rsid w:val="00192834"/>
    <w:rsid w:val="00192BE4"/>
    <w:rsid w:val="00194EA3"/>
    <w:rsid w:val="001A102A"/>
    <w:rsid w:val="001A1B78"/>
    <w:rsid w:val="001A5AF7"/>
    <w:rsid w:val="001A5EB2"/>
    <w:rsid w:val="001A7071"/>
    <w:rsid w:val="001B0CC1"/>
    <w:rsid w:val="001B1351"/>
    <w:rsid w:val="001B5B5B"/>
    <w:rsid w:val="001C0DDC"/>
    <w:rsid w:val="001C2ED2"/>
    <w:rsid w:val="001C5101"/>
    <w:rsid w:val="001C5E41"/>
    <w:rsid w:val="001C6CD4"/>
    <w:rsid w:val="001D16B0"/>
    <w:rsid w:val="001D198A"/>
    <w:rsid w:val="001D465C"/>
    <w:rsid w:val="001D61E0"/>
    <w:rsid w:val="001D7262"/>
    <w:rsid w:val="001E0742"/>
    <w:rsid w:val="001E1A03"/>
    <w:rsid w:val="001E2903"/>
    <w:rsid w:val="001E63DB"/>
    <w:rsid w:val="001E643A"/>
    <w:rsid w:val="001E67B3"/>
    <w:rsid w:val="001F0998"/>
    <w:rsid w:val="001F18AB"/>
    <w:rsid w:val="001F1D13"/>
    <w:rsid w:val="00201177"/>
    <w:rsid w:val="00201CFD"/>
    <w:rsid w:val="002020A5"/>
    <w:rsid w:val="00204C06"/>
    <w:rsid w:val="002069A6"/>
    <w:rsid w:val="002119A0"/>
    <w:rsid w:val="002123C5"/>
    <w:rsid w:val="0021305F"/>
    <w:rsid w:val="00213B97"/>
    <w:rsid w:val="0021507F"/>
    <w:rsid w:val="00221B75"/>
    <w:rsid w:val="002260E6"/>
    <w:rsid w:val="00230BF4"/>
    <w:rsid w:val="00231ADF"/>
    <w:rsid w:val="002324A5"/>
    <w:rsid w:val="0023395D"/>
    <w:rsid w:val="00236949"/>
    <w:rsid w:val="002425BC"/>
    <w:rsid w:val="00243973"/>
    <w:rsid w:val="002442B4"/>
    <w:rsid w:val="0024484D"/>
    <w:rsid w:val="002453B0"/>
    <w:rsid w:val="00251CF0"/>
    <w:rsid w:val="002545B9"/>
    <w:rsid w:val="00256920"/>
    <w:rsid w:val="0026110F"/>
    <w:rsid w:val="00262122"/>
    <w:rsid w:val="002645F0"/>
    <w:rsid w:val="002663D1"/>
    <w:rsid w:val="002679AB"/>
    <w:rsid w:val="00270184"/>
    <w:rsid w:val="00271966"/>
    <w:rsid w:val="002735E7"/>
    <w:rsid w:val="002736EE"/>
    <w:rsid w:val="00275CA4"/>
    <w:rsid w:val="00280BB4"/>
    <w:rsid w:val="002814E5"/>
    <w:rsid w:val="002828F6"/>
    <w:rsid w:val="002838CD"/>
    <w:rsid w:val="00283BF0"/>
    <w:rsid w:val="002845CE"/>
    <w:rsid w:val="002852C5"/>
    <w:rsid w:val="00286ED3"/>
    <w:rsid w:val="00287DB8"/>
    <w:rsid w:val="00287F40"/>
    <w:rsid w:val="0029042F"/>
    <w:rsid w:val="00291A6E"/>
    <w:rsid w:val="00293842"/>
    <w:rsid w:val="00293E18"/>
    <w:rsid w:val="00296661"/>
    <w:rsid w:val="002974BD"/>
    <w:rsid w:val="00297A1C"/>
    <w:rsid w:val="002A20B0"/>
    <w:rsid w:val="002A43A2"/>
    <w:rsid w:val="002B00D8"/>
    <w:rsid w:val="002B164B"/>
    <w:rsid w:val="002B1A48"/>
    <w:rsid w:val="002B1FD7"/>
    <w:rsid w:val="002B5472"/>
    <w:rsid w:val="002C1F2D"/>
    <w:rsid w:val="002C24FF"/>
    <w:rsid w:val="002C3814"/>
    <w:rsid w:val="002C3A49"/>
    <w:rsid w:val="002C487F"/>
    <w:rsid w:val="002C61EF"/>
    <w:rsid w:val="002D2065"/>
    <w:rsid w:val="002D23BE"/>
    <w:rsid w:val="002D4B05"/>
    <w:rsid w:val="002D69F6"/>
    <w:rsid w:val="002E1276"/>
    <w:rsid w:val="002E1D02"/>
    <w:rsid w:val="002E2C6C"/>
    <w:rsid w:val="002E4526"/>
    <w:rsid w:val="002E45F1"/>
    <w:rsid w:val="002E4881"/>
    <w:rsid w:val="002E5B11"/>
    <w:rsid w:val="002E6458"/>
    <w:rsid w:val="002E7747"/>
    <w:rsid w:val="002F4FAD"/>
    <w:rsid w:val="002F61F3"/>
    <w:rsid w:val="002F67E5"/>
    <w:rsid w:val="00300905"/>
    <w:rsid w:val="00302F73"/>
    <w:rsid w:val="003055E2"/>
    <w:rsid w:val="003055EB"/>
    <w:rsid w:val="003058BF"/>
    <w:rsid w:val="00305A46"/>
    <w:rsid w:val="003100E2"/>
    <w:rsid w:val="00312904"/>
    <w:rsid w:val="00313FE3"/>
    <w:rsid w:val="00316494"/>
    <w:rsid w:val="003202E0"/>
    <w:rsid w:val="003214FE"/>
    <w:rsid w:val="003225B8"/>
    <w:rsid w:val="00324D06"/>
    <w:rsid w:val="0032550A"/>
    <w:rsid w:val="0032746B"/>
    <w:rsid w:val="00330F3E"/>
    <w:rsid w:val="003328C6"/>
    <w:rsid w:val="003334C8"/>
    <w:rsid w:val="00333AB7"/>
    <w:rsid w:val="003347C6"/>
    <w:rsid w:val="00335339"/>
    <w:rsid w:val="003378B3"/>
    <w:rsid w:val="003407D3"/>
    <w:rsid w:val="00343BEF"/>
    <w:rsid w:val="003447DE"/>
    <w:rsid w:val="00344E81"/>
    <w:rsid w:val="00350E71"/>
    <w:rsid w:val="00354C0E"/>
    <w:rsid w:val="00355ADA"/>
    <w:rsid w:val="00356384"/>
    <w:rsid w:val="00362B86"/>
    <w:rsid w:val="00364683"/>
    <w:rsid w:val="00365F8D"/>
    <w:rsid w:val="003717FD"/>
    <w:rsid w:val="003718EA"/>
    <w:rsid w:val="003727F0"/>
    <w:rsid w:val="00374C03"/>
    <w:rsid w:val="003759E5"/>
    <w:rsid w:val="003826BA"/>
    <w:rsid w:val="00384B2A"/>
    <w:rsid w:val="00384D13"/>
    <w:rsid w:val="00384FC6"/>
    <w:rsid w:val="0038553A"/>
    <w:rsid w:val="00385B1B"/>
    <w:rsid w:val="00387667"/>
    <w:rsid w:val="00387682"/>
    <w:rsid w:val="00392679"/>
    <w:rsid w:val="00392F6E"/>
    <w:rsid w:val="0039354F"/>
    <w:rsid w:val="003A0690"/>
    <w:rsid w:val="003A3B59"/>
    <w:rsid w:val="003A51A0"/>
    <w:rsid w:val="003A5A66"/>
    <w:rsid w:val="003A5A90"/>
    <w:rsid w:val="003B09E0"/>
    <w:rsid w:val="003B1FE0"/>
    <w:rsid w:val="003B2B98"/>
    <w:rsid w:val="003B3430"/>
    <w:rsid w:val="003B407C"/>
    <w:rsid w:val="003B4BF2"/>
    <w:rsid w:val="003B582C"/>
    <w:rsid w:val="003B5F8C"/>
    <w:rsid w:val="003C0756"/>
    <w:rsid w:val="003C283C"/>
    <w:rsid w:val="003C3DA5"/>
    <w:rsid w:val="003C3ECF"/>
    <w:rsid w:val="003C59D6"/>
    <w:rsid w:val="003C6D80"/>
    <w:rsid w:val="003C6F6D"/>
    <w:rsid w:val="003D1DB5"/>
    <w:rsid w:val="003D27C1"/>
    <w:rsid w:val="003D7E69"/>
    <w:rsid w:val="003E02F0"/>
    <w:rsid w:val="003E1AF6"/>
    <w:rsid w:val="003E3092"/>
    <w:rsid w:val="003E58E3"/>
    <w:rsid w:val="003F1048"/>
    <w:rsid w:val="003F1279"/>
    <w:rsid w:val="003F2100"/>
    <w:rsid w:val="003F2BA6"/>
    <w:rsid w:val="003F3A1D"/>
    <w:rsid w:val="003F3DEA"/>
    <w:rsid w:val="003F42BE"/>
    <w:rsid w:val="003F5FA8"/>
    <w:rsid w:val="003F6F95"/>
    <w:rsid w:val="00405235"/>
    <w:rsid w:val="004056A5"/>
    <w:rsid w:val="00407032"/>
    <w:rsid w:val="004072E2"/>
    <w:rsid w:val="00412D6E"/>
    <w:rsid w:val="004207A0"/>
    <w:rsid w:val="004238E3"/>
    <w:rsid w:val="00430726"/>
    <w:rsid w:val="0043073C"/>
    <w:rsid w:val="00435E02"/>
    <w:rsid w:val="004367ED"/>
    <w:rsid w:val="00436C04"/>
    <w:rsid w:val="0044187A"/>
    <w:rsid w:val="00446DDC"/>
    <w:rsid w:val="00447CF4"/>
    <w:rsid w:val="004514FE"/>
    <w:rsid w:val="00452ECE"/>
    <w:rsid w:val="00454575"/>
    <w:rsid w:val="00454A0C"/>
    <w:rsid w:val="004606F0"/>
    <w:rsid w:val="004615D0"/>
    <w:rsid w:val="00461BD1"/>
    <w:rsid w:val="00470C20"/>
    <w:rsid w:val="00470E71"/>
    <w:rsid w:val="00472DC0"/>
    <w:rsid w:val="00476F55"/>
    <w:rsid w:val="00476FCA"/>
    <w:rsid w:val="00480DA5"/>
    <w:rsid w:val="00481977"/>
    <w:rsid w:val="00481E8C"/>
    <w:rsid w:val="004828E1"/>
    <w:rsid w:val="00485D1D"/>
    <w:rsid w:val="004931CF"/>
    <w:rsid w:val="00494590"/>
    <w:rsid w:val="00496227"/>
    <w:rsid w:val="00497578"/>
    <w:rsid w:val="004A29D2"/>
    <w:rsid w:val="004A3D28"/>
    <w:rsid w:val="004A6BB0"/>
    <w:rsid w:val="004B29BD"/>
    <w:rsid w:val="004B6BF3"/>
    <w:rsid w:val="004C03C0"/>
    <w:rsid w:val="004C0BB4"/>
    <w:rsid w:val="004C1D6D"/>
    <w:rsid w:val="004C6D8F"/>
    <w:rsid w:val="004D04CA"/>
    <w:rsid w:val="004D0924"/>
    <w:rsid w:val="004D2CBA"/>
    <w:rsid w:val="004E19AD"/>
    <w:rsid w:val="004E3233"/>
    <w:rsid w:val="004F019A"/>
    <w:rsid w:val="004F2D30"/>
    <w:rsid w:val="004F59A9"/>
    <w:rsid w:val="004F69B0"/>
    <w:rsid w:val="004F71D9"/>
    <w:rsid w:val="005013D8"/>
    <w:rsid w:val="00502C29"/>
    <w:rsid w:val="00511413"/>
    <w:rsid w:val="00513C35"/>
    <w:rsid w:val="00513FED"/>
    <w:rsid w:val="0051420C"/>
    <w:rsid w:val="0051755D"/>
    <w:rsid w:val="00521D06"/>
    <w:rsid w:val="0052342C"/>
    <w:rsid w:val="005237F1"/>
    <w:rsid w:val="00525104"/>
    <w:rsid w:val="00525806"/>
    <w:rsid w:val="00526882"/>
    <w:rsid w:val="00527893"/>
    <w:rsid w:val="00527C17"/>
    <w:rsid w:val="00527C8C"/>
    <w:rsid w:val="00527CA8"/>
    <w:rsid w:val="00527F83"/>
    <w:rsid w:val="00527FA4"/>
    <w:rsid w:val="00531EED"/>
    <w:rsid w:val="005333C0"/>
    <w:rsid w:val="00534BC8"/>
    <w:rsid w:val="005350F3"/>
    <w:rsid w:val="00540246"/>
    <w:rsid w:val="00540ACE"/>
    <w:rsid w:val="0054197A"/>
    <w:rsid w:val="00543167"/>
    <w:rsid w:val="00544270"/>
    <w:rsid w:val="00545217"/>
    <w:rsid w:val="00547590"/>
    <w:rsid w:val="0055331A"/>
    <w:rsid w:val="00553664"/>
    <w:rsid w:val="005536E7"/>
    <w:rsid w:val="00554094"/>
    <w:rsid w:val="005551FC"/>
    <w:rsid w:val="00555B54"/>
    <w:rsid w:val="00556045"/>
    <w:rsid w:val="00560BD9"/>
    <w:rsid w:val="005646F5"/>
    <w:rsid w:val="00566B02"/>
    <w:rsid w:val="005672A1"/>
    <w:rsid w:val="005720C0"/>
    <w:rsid w:val="00573DD0"/>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41D7"/>
    <w:rsid w:val="00594560"/>
    <w:rsid w:val="005963A5"/>
    <w:rsid w:val="005A0B78"/>
    <w:rsid w:val="005A2977"/>
    <w:rsid w:val="005A6345"/>
    <w:rsid w:val="005A68CC"/>
    <w:rsid w:val="005A79EE"/>
    <w:rsid w:val="005B13F0"/>
    <w:rsid w:val="005B1466"/>
    <w:rsid w:val="005B18C4"/>
    <w:rsid w:val="005C0407"/>
    <w:rsid w:val="005C3934"/>
    <w:rsid w:val="005C5DC5"/>
    <w:rsid w:val="005C6880"/>
    <w:rsid w:val="005D0DC5"/>
    <w:rsid w:val="005D2858"/>
    <w:rsid w:val="005D36FD"/>
    <w:rsid w:val="005D3F07"/>
    <w:rsid w:val="005D4009"/>
    <w:rsid w:val="005D7292"/>
    <w:rsid w:val="005D7316"/>
    <w:rsid w:val="005E160F"/>
    <w:rsid w:val="005E2EAF"/>
    <w:rsid w:val="005E5221"/>
    <w:rsid w:val="005E5A70"/>
    <w:rsid w:val="005F1BBF"/>
    <w:rsid w:val="005F2E8A"/>
    <w:rsid w:val="005F31D0"/>
    <w:rsid w:val="005F3BD9"/>
    <w:rsid w:val="005F60C5"/>
    <w:rsid w:val="006007CD"/>
    <w:rsid w:val="00605928"/>
    <w:rsid w:val="00605ECE"/>
    <w:rsid w:val="00606752"/>
    <w:rsid w:val="0060714F"/>
    <w:rsid w:val="006106FA"/>
    <w:rsid w:val="00611C2B"/>
    <w:rsid w:val="00611E12"/>
    <w:rsid w:val="006122C9"/>
    <w:rsid w:val="006134AE"/>
    <w:rsid w:val="00613F91"/>
    <w:rsid w:val="00614F90"/>
    <w:rsid w:val="00615C93"/>
    <w:rsid w:val="00615DA8"/>
    <w:rsid w:val="006172D3"/>
    <w:rsid w:val="00617F46"/>
    <w:rsid w:val="006214EB"/>
    <w:rsid w:val="006230F8"/>
    <w:rsid w:val="006235C1"/>
    <w:rsid w:val="00623933"/>
    <w:rsid w:val="00630B35"/>
    <w:rsid w:val="00631E15"/>
    <w:rsid w:val="006346CE"/>
    <w:rsid w:val="0063477D"/>
    <w:rsid w:val="00634B34"/>
    <w:rsid w:val="00635B37"/>
    <w:rsid w:val="00636008"/>
    <w:rsid w:val="00640626"/>
    <w:rsid w:val="00640B28"/>
    <w:rsid w:val="00643688"/>
    <w:rsid w:val="006436FA"/>
    <w:rsid w:val="00644A00"/>
    <w:rsid w:val="006450F9"/>
    <w:rsid w:val="006505CE"/>
    <w:rsid w:val="006530F1"/>
    <w:rsid w:val="006545DE"/>
    <w:rsid w:val="006551B1"/>
    <w:rsid w:val="00657460"/>
    <w:rsid w:val="00660387"/>
    <w:rsid w:val="00660C0A"/>
    <w:rsid w:val="0066291D"/>
    <w:rsid w:val="006661D8"/>
    <w:rsid w:val="006714D9"/>
    <w:rsid w:val="006722C9"/>
    <w:rsid w:val="0067276C"/>
    <w:rsid w:val="00672CFE"/>
    <w:rsid w:val="00677402"/>
    <w:rsid w:val="00680731"/>
    <w:rsid w:val="00681D1B"/>
    <w:rsid w:val="0068416B"/>
    <w:rsid w:val="006866F0"/>
    <w:rsid w:val="006876B0"/>
    <w:rsid w:val="00696623"/>
    <w:rsid w:val="006A30EF"/>
    <w:rsid w:val="006B0572"/>
    <w:rsid w:val="006B0BC6"/>
    <w:rsid w:val="006B0D42"/>
    <w:rsid w:val="006B0FC7"/>
    <w:rsid w:val="006B21C3"/>
    <w:rsid w:val="006B26FE"/>
    <w:rsid w:val="006B4E49"/>
    <w:rsid w:val="006B5468"/>
    <w:rsid w:val="006B5DB7"/>
    <w:rsid w:val="006C02B6"/>
    <w:rsid w:val="006C0AC3"/>
    <w:rsid w:val="006C449B"/>
    <w:rsid w:val="006C7183"/>
    <w:rsid w:val="006D3165"/>
    <w:rsid w:val="006D3ADF"/>
    <w:rsid w:val="006D6FB4"/>
    <w:rsid w:val="006D6FBF"/>
    <w:rsid w:val="006D7B33"/>
    <w:rsid w:val="006E0BFB"/>
    <w:rsid w:val="006E3885"/>
    <w:rsid w:val="006E48F4"/>
    <w:rsid w:val="006E4D4F"/>
    <w:rsid w:val="006E6002"/>
    <w:rsid w:val="006E6A44"/>
    <w:rsid w:val="006E6CC2"/>
    <w:rsid w:val="006E7190"/>
    <w:rsid w:val="006E77F6"/>
    <w:rsid w:val="006F0D4D"/>
    <w:rsid w:val="006F153E"/>
    <w:rsid w:val="006F2001"/>
    <w:rsid w:val="006F405E"/>
    <w:rsid w:val="006F5420"/>
    <w:rsid w:val="006F5796"/>
    <w:rsid w:val="006F65D6"/>
    <w:rsid w:val="006F7809"/>
    <w:rsid w:val="0070269F"/>
    <w:rsid w:val="00706836"/>
    <w:rsid w:val="00706A4F"/>
    <w:rsid w:val="00707E0F"/>
    <w:rsid w:val="00710D10"/>
    <w:rsid w:val="00714CBF"/>
    <w:rsid w:val="00715761"/>
    <w:rsid w:val="00715FB7"/>
    <w:rsid w:val="00720CF6"/>
    <w:rsid w:val="007245FD"/>
    <w:rsid w:val="0072709F"/>
    <w:rsid w:val="00730C64"/>
    <w:rsid w:val="00732E4A"/>
    <w:rsid w:val="00732E95"/>
    <w:rsid w:val="0074083C"/>
    <w:rsid w:val="00742A18"/>
    <w:rsid w:val="0074555A"/>
    <w:rsid w:val="00751A34"/>
    <w:rsid w:val="007559EA"/>
    <w:rsid w:val="00757AD9"/>
    <w:rsid w:val="00761D20"/>
    <w:rsid w:val="00763558"/>
    <w:rsid w:val="00763704"/>
    <w:rsid w:val="00764116"/>
    <w:rsid w:val="00764BA6"/>
    <w:rsid w:val="00766B48"/>
    <w:rsid w:val="00766C58"/>
    <w:rsid w:val="007754FB"/>
    <w:rsid w:val="007758CF"/>
    <w:rsid w:val="00776C2C"/>
    <w:rsid w:val="00777B6F"/>
    <w:rsid w:val="0078001A"/>
    <w:rsid w:val="00780821"/>
    <w:rsid w:val="00782596"/>
    <w:rsid w:val="0078382E"/>
    <w:rsid w:val="00783C45"/>
    <w:rsid w:val="007845AC"/>
    <w:rsid w:val="00786B04"/>
    <w:rsid w:val="00795926"/>
    <w:rsid w:val="007A0656"/>
    <w:rsid w:val="007A127E"/>
    <w:rsid w:val="007A2F02"/>
    <w:rsid w:val="007A6D44"/>
    <w:rsid w:val="007B0FBF"/>
    <w:rsid w:val="007B30B2"/>
    <w:rsid w:val="007B332A"/>
    <w:rsid w:val="007B6707"/>
    <w:rsid w:val="007B7AB5"/>
    <w:rsid w:val="007C3D38"/>
    <w:rsid w:val="007C4623"/>
    <w:rsid w:val="007C4B83"/>
    <w:rsid w:val="007C5F56"/>
    <w:rsid w:val="007D0DE5"/>
    <w:rsid w:val="007D1443"/>
    <w:rsid w:val="007D4284"/>
    <w:rsid w:val="007D497B"/>
    <w:rsid w:val="007D76E9"/>
    <w:rsid w:val="007E06C0"/>
    <w:rsid w:val="007E30F3"/>
    <w:rsid w:val="007E5A34"/>
    <w:rsid w:val="007F15AB"/>
    <w:rsid w:val="007F4D14"/>
    <w:rsid w:val="007F4FE8"/>
    <w:rsid w:val="007F7B37"/>
    <w:rsid w:val="007F7FBD"/>
    <w:rsid w:val="00800F2A"/>
    <w:rsid w:val="00801818"/>
    <w:rsid w:val="00801D92"/>
    <w:rsid w:val="00802422"/>
    <w:rsid w:val="00804A96"/>
    <w:rsid w:val="00804FAB"/>
    <w:rsid w:val="00806224"/>
    <w:rsid w:val="0080771E"/>
    <w:rsid w:val="008105F7"/>
    <w:rsid w:val="00810FB7"/>
    <w:rsid w:val="008121C0"/>
    <w:rsid w:val="008131A3"/>
    <w:rsid w:val="008132FF"/>
    <w:rsid w:val="00814B68"/>
    <w:rsid w:val="00815D9E"/>
    <w:rsid w:val="00820703"/>
    <w:rsid w:val="00827CB2"/>
    <w:rsid w:val="00830030"/>
    <w:rsid w:val="008310FB"/>
    <w:rsid w:val="00831423"/>
    <w:rsid w:val="00834635"/>
    <w:rsid w:val="00834713"/>
    <w:rsid w:val="00834E4A"/>
    <w:rsid w:val="00835265"/>
    <w:rsid w:val="008352FD"/>
    <w:rsid w:val="00835510"/>
    <w:rsid w:val="0084074C"/>
    <w:rsid w:val="00840C82"/>
    <w:rsid w:val="0084227F"/>
    <w:rsid w:val="00842E4D"/>
    <w:rsid w:val="008432CC"/>
    <w:rsid w:val="008466FB"/>
    <w:rsid w:val="00846D09"/>
    <w:rsid w:val="008479DA"/>
    <w:rsid w:val="00847ABB"/>
    <w:rsid w:val="0085030C"/>
    <w:rsid w:val="00850DA0"/>
    <w:rsid w:val="00853FE2"/>
    <w:rsid w:val="008560AE"/>
    <w:rsid w:val="00860DC6"/>
    <w:rsid w:val="00861B0A"/>
    <w:rsid w:val="0086497E"/>
    <w:rsid w:val="0086663C"/>
    <w:rsid w:val="008749ED"/>
    <w:rsid w:val="00880149"/>
    <w:rsid w:val="0088172D"/>
    <w:rsid w:val="00883E97"/>
    <w:rsid w:val="008840C6"/>
    <w:rsid w:val="0088439F"/>
    <w:rsid w:val="00884BA2"/>
    <w:rsid w:val="00885F67"/>
    <w:rsid w:val="0089022C"/>
    <w:rsid w:val="00894357"/>
    <w:rsid w:val="00894F24"/>
    <w:rsid w:val="00897B21"/>
    <w:rsid w:val="008A0616"/>
    <w:rsid w:val="008A3640"/>
    <w:rsid w:val="008A4358"/>
    <w:rsid w:val="008A566A"/>
    <w:rsid w:val="008B1304"/>
    <w:rsid w:val="008B309D"/>
    <w:rsid w:val="008B5EC2"/>
    <w:rsid w:val="008C0AD6"/>
    <w:rsid w:val="008C23F4"/>
    <w:rsid w:val="008C2C79"/>
    <w:rsid w:val="008C3CE8"/>
    <w:rsid w:val="008C4E25"/>
    <w:rsid w:val="008C53F1"/>
    <w:rsid w:val="008C625F"/>
    <w:rsid w:val="008C7160"/>
    <w:rsid w:val="008C772D"/>
    <w:rsid w:val="008D264F"/>
    <w:rsid w:val="008D3358"/>
    <w:rsid w:val="008D56E5"/>
    <w:rsid w:val="008D5D32"/>
    <w:rsid w:val="008D76D1"/>
    <w:rsid w:val="008E16BB"/>
    <w:rsid w:val="008E2F03"/>
    <w:rsid w:val="008E4521"/>
    <w:rsid w:val="008E47C9"/>
    <w:rsid w:val="008E4885"/>
    <w:rsid w:val="008E5AB3"/>
    <w:rsid w:val="008E5D3C"/>
    <w:rsid w:val="008E5DCA"/>
    <w:rsid w:val="008E7A22"/>
    <w:rsid w:val="008F098E"/>
    <w:rsid w:val="008F3C93"/>
    <w:rsid w:val="008F44AE"/>
    <w:rsid w:val="008F744E"/>
    <w:rsid w:val="0090052B"/>
    <w:rsid w:val="00900541"/>
    <w:rsid w:val="009019D9"/>
    <w:rsid w:val="009058A3"/>
    <w:rsid w:val="0091141A"/>
    <w:rsid w:val="00911534"/>
    <w:rsid w:val="00913373"/>
    <w:rsid w:val="00916A46"/>
    <w:rsid w:val="00922F3C"/>
    <w:rsid w:val="0092414C"/>
    <w:rsid w:val="009259D7"/>
    <w:rsid w:val="00926EDE"/>
    <w:rsid w:val="00930507"/>
    <w:rsid w:val="009316D2"/>
    <w:rsid w:val="00931A0A"/>
    <w:rsid w:val="00932003"/>
    <w:rsid w:val="00932005"/>
    <w:rsid w:val="0093387F"/>
    <w:rsid w:val="00934267"/>
    <w:rsid w:val="00937CB4"/>
    <w:rsid w:val="00942397"/>
    <w:rsid w:val="009432F7"/>
    <w:rsid w:val="00947C68"/>
    <w:rsid w:val="00950CB5"/>
    <w:rsid w:val="00953A2B"/>
    <w:rsid w:val="00954BFE"/>
    <w:rsid w:val="00956C5E"/>
    <w:rsid w:val="0095794F"/>
    <w:rsid w:val="00960059"/>
    <w:rsid w:val="00963641"/>
    <w:rsid w:val="009643CA"/>
    <w:rsid w:val="00970D10"/>
    <w:rsid w:val="00972D6B"/>
    <w:rsid w:val="009735D0"/>
    <w:rsid w:val="00974BDD"/>
    <w:rsid w:val="009755E6"/>
    <w:rsid w:val="009807BB"/>
    <w:rsid w:val="00981224"/>
    <w:rsid w:val="0098580A"/>
    <w:rsid w:val="00986243"/>
    <w:rsid w:val="009865B9"/>
    <w:rsid w:val="00987A25"/>
    <w:rsid w:val="009915B7"/>
    <w:rsid w:val="0099173C"/>
    <w:rsid w:val="00997137"/>
    <w:rsid w:val="009A16D1"/>
    <w:rsid w:val="009A3376"/>
    <w:rsid w:val="009A4155"/>
    <w:rsid w:val="009A6B1A"/>
    <w:rsid w:val="009B02D5"/>
    <w:rsid w:val="009B41E3"/>
    <w:rsid w:val="009B4880"/>
    <w:rsid w:val="009B761B"/>
    <w:rsid w:val="009C0D33"/>
    <w:rsid w:val="009C2059"/>
    <w:rsid w:val="009C3800"/>
    <w:rsid w:val="009C417A"/>
    <w:rsid w:val="009C463F"/>
    <w:rsid w:val="009C6811"/>
    <w:rsid w:val="009C72D6"/>
    <w:rsid w:val="009C7907"/>
    <w:rsid w:val="009D2144"/>
    <w:rsid w:val="009D2914"/>
    <w:rsid w:val="009E1C72"/>
    <w:rsid w:val="009E665A"/>
    <w:rsid w:val="009E75C4"/>
    <w:rsid w:val="009F2D29"/>
    <w:rsid w:val="009F328A"/>
    <w:rsid w:val="009F6888"/>
    <w:rsid w:val="009F68E6"/>
    <w:rsid w:val="009F7CB7"/>
    <w:rsid w:val="00A053CD"/>
    <w:rsid w:val="00A06A09"/>
    <w:rsid w:val="00A073D5"/>
    <w:rsid w:val="00A1111F"/>
    <w:rsid w:val="00A12206"/>
    <w:rsid w:val="00A1232A"/>
    <w:rsid w:val="00A1339D"/>
    <w:rsid w:val="00A1420C"/>
    <w:rsid w:val="00A15561"/>
    <w:rsid w:val="00A16355"/>
    <w:rsid w:val="00A17511"/>
    <w:rsid w:val="00A17A48"/>
    <w:rsid w:val="00A202FC"/>
    <w:rsid w:val="00A20BC6"/>
    <w:rsid w:val="00A21CF8"/>
    <w:rsid w:val="00A24BF6"/>
    <w:rsid w:val="00A25574"/>
    <w:rsid w:val="00A26811"/>
    <w:rsid w:val="00A3068C"/>
    <w:rsid w:val="00A32EFA"/>
    <w:rsid w:val="00A34303"/>
    <w:rsid w:val="00A352DE"/>
    <w:rsid w:val="00A40075"/>
    <w:rsid w:val="00A4052C"/>
    <w:rsid w:val="00A40E23"/>
    <w:rsid w:val="00A4423C"/>
    <w:rsid w:val="00A45323"/>
    <w:rsid w:val="00A45926"/>
    <w:rsid w:val="00A47379"/>
    <w:rsid w:val="00A538F8"/>
    <w:rsid w:val="00A63C29"/>
    <w:rsid w:val="00A661D7"/>
    <w:rsid w:val="00A703E3"/>
    <w:rsid w:val="00A70B17"/>
    <w:rsid w:val="00A717FA"/>
    <w:rsid w:val="00A7190C"/>
    <w:rsid w:val="00A731E0"/>
    <w:rsid w:val="00A76C6B"/>
    <w:rsid w:val="00A819F1"/>
    <w:rsid w:val="00A81B47"/>
    <w:rsid w:val="00A82F4D"/>
    <w:rsid w:val="00A83519"/>
    <w:rsid w:val="00A86776"/>
    <w:rsid w:val="00A90315"/>
    <w:rsid w:val="00A92737"/>
    <w:rsid w:val="00A950B9"/>
    <w:rsid w:val="00A9557F"/>
    <w:rsid w:val="00A95B09"/>
    <w:rsid w:val="00AA39B1"/>
    <w:rsid w:val="00AA537C"/>
    <w:rsid w:val="00AA6C1E"/>
    <w:rsid w:val="00AA7869"/>
    <w:rsid w:val="00AB0B92"/>
    <w:rsid w:val="00AB12C4"/>
    <w:rsid w:val="00AB4C69"/>
    <w:rsid w:val="00AB5230"/>
    <w:rsid w:val="00AB55AC"/>
    <w:rsid w:val="00AC3DDC"/>
    <w:rsid w:val="00AC41E4"/>
    <w:rsid w:val="00AC4EFB"/>
    <w:rsid w:val="00AC6163"/>
    <w:rsid w:val="00AC64F6"/>
    <w:rsid w:val="00AD0127"/>
    <w:rsid w:val="00AD0E59"/>
    <w:rsid w:val="00AD2A8A"/>
    <w:rsid w:val="00AD7287"/>
    <w:rsid w:val="00AD7D09"/>
    <w:rsid w:val="00AE0FE6"/>
    <w:rsid w:val="00AE3BB6"/>
    <w:rsid w:val="00AE3D22"/>
    <w:rsid w:val="00AE5901"/>
    <w:rsid w:val="00AE6910"/>
    <w:rsid w:val="00AF0594"/>
    <w:rsid w:val="00B014B8"/>
    <w:rsid w:val="00B01543"/>
    <w:rsid w:val="00B0593A"/>
    <w:rsid w:val="00B0758B"/>
    <w:rsid w:val="00B07A8D"/>
    <w:rsid w:val="00B1364C"/>
    <w:rsid w:val="00B13AE0"/>
    <w:rsid w:val="00B14BCD"/>
    <w:rsid w:val="00B1508A"/>
    <w:rsid w:val="00B24E12"/>
    <w:rsid w:val="00B25ECA"/>
    <w:rsid w:val="00B2686A"/>
    <w:rsid w:val="00B271D8"/>
    <w:rsid w:val="00B271EF"/>
    <w:rsid w:val="00B31FD9"/>
    <w:rsid w:val="00B32349"/>
    <w:rsid w:val="00B34768"/>
    <w:rsid w:val="00B34A8F"/>
    <w:rsid w:val="00B35420"/>
    <w:rsid w:val="00B355A5"/>
    <w:rsid w:val="00B368B2"/>
    <w:rsid w:val="00B3742C"/>
    <w:rsid w:val="00B40330"/>
    <w:rsid w:val="00B41BF2"/>
    <w:rsid w:val="00B44194"/>
    <w:rsid w:val="00B44CE7"/>
    <w:rsid w:val="00B46044"/>
    <w:rsid w:val="00B503A6"/>
    <w:rsid w:val="00B578FB"/>
    <w:rsid w:val="00B65DAE"/>
    <w:rsid w:val="00B705B3"/>
    <w:rsid w:val="00B72F43"/>
    <w:rsid w:val="00B739CF"/>
    <w:rsid w:val="00B75468"/>
    <w:rsid w:val="00B75C8A"/>
    <w:rsid w:val="00B77D38"/>
    <w:rsid w:val="00B8040A"/>
    <w:rsid w:val="00B812AB"/>
    <w:rsid w:val="00B84340"/>
    <w:rsid w:val="00B84BA4"/>
    <w:rsid w:val="00B85CEA"/>
    <w:rsid w:val="00B94EDF"/>
    <w:rsid w:val="00B96CF7"/>
    <w:rsid w:val="00B970AB"/>
    <w:rsid w:val="00B97556"/>
    <w:rsid w:val="00BA183C"/>
    <w:rsid w:val="00BA1BBA"/>
    <w:rsid w:val="00BA1D34"/>
    <w:rsid w:val="00BA2474"/>
    <w:rsid w:val="00BA6F9A"/>
    <w:rsid w:val="00BB111A"/>
    <w:rsid w:val="00BB35BE"/>
    <w:rsid w:val="00BB35CB"/>
    <w:rsid w:val="00BB4CD6"/>
    <w:rsid w:val="00BB7727"/>
    <w:rsid w:val="00BB792E"/>
    <w:rsid w:val="00BC092E"/>
    <w:rsid w:val="00BC140D"/>
    <w:rsid w:val="00BC2D86"/>
    <w:rsid w:val="00BC40A6"/>
    <w:rsid w:val="00BC652F"/>
    <w:rsid w:val="00BC6B49"/>
    <w:rsid w:val="00BC76EA"/>
    <w:rsid w:val="00BD05A3"/>
    <w:rsid w:val="00BD07B3"/>
    <w:rsid w:val="00BD18BA"/>
    <w:rsid w:val="00BD2436"/>
    <w:rsid w:val="00BD2A3D"/>
    <w:rsid w:val="00BD60FE"/>
    <w:rsid w:val="00BE16D9"/>
    <w:rsid w:val="00BE58B8"/>
    <w:rsid w:val="00BF0282"/>
    <w:rsid w:val="00BF09CB"/>
    <w:rsid w:val="00BF0F32"/>
    <w:rsid w:val="00BF16A4"/>
    <w:rsid w:val="00BF1CBA"/>
    <w:rsid w:val="00BF2535"/>
    <w:rsid w:val="00BF31FA"/>
    <w:rsid w:val="00BF4103"/>
    <w:rsid w:val="00BF62BB"/>
    <w:rsid w:val="00BF6D02"/>
    <w:rsid w:val="00C0141E"/>
    <w:rsid w:val="00C03832"/>
    <w:rsid w:val="00C13A91"/>
    <w:rsid w:val="00C15147"/>
    <w:rsid w:val="00C21FAE"/>
    <w:rsid w:val="00C25F0D"/>
    <w:rsid w:val="00C270E0"/>
    <w:rsid w:val="00C327E9"/>
    <w:rsid w:val="00C3345D"/>
    <w:rsid w:val="00C34D7E"/>
    <w:rsid w:val="00C43827"/>
    <w:rsid w:val="00C501F1"/>
    <w:rsid w:val="00C52C65"/>
    <w:rsid w:val="00C52E29"/>
    <w:rsid w:val="00C53AFD"/>
    <w:rsid w:val="00C54E44"/>
    <w:rsid w:val="00C553FF"/>
    <w:rsid w:val="00C57FE2"/>
    <w:rsid w:val="00C608A9"/>
    <w:rsid w:val="00C610E0"/>
    <w:rsid w:val="00C61976"/>
    <w:rsid w:val="00C61F16"/>
    <w:rsid w:val="00C6345A"/>
    <w:rsid w:val="00C72701"/>
    <w:rsid w:val="00C74D87"/>
    <w:rsid w:val="00C77924"/>
    <w:rsid w:val="00C77CFC"/>
    <w:rsid w:val="00C82498"/>
    <w:rsid w:val="00C82727"/>
    <w:rsid w:val="00C859AB"/>
    <w:rsid w:val="00C87B10"/>
    <w:rsid w:val="00C906EE"/>
    <w:rsid w:val="00C912B7"/>
    <w:rsid w:val="00C9264A"/>
    <w:rsid w:val="00C927A6"/>
    <w:rsid w:val="00C93B1F"/>
    <w:rsid w:val="00C965EC"/>
    <w:rsid w:val="00C968B3"/>
    <w:rsid w:val="00CA577B"/>
    <w:rsid w:val="00CA6518"/>
    <w:rsid w:val="00CA72F9"/>
    <w:rsid w:val="00CB0F75"/>
    <w:rsid w:val="00CB30B1"/>
    <w:rsid w:val="00CC0B81"/>
    <w:rsid w:val="00CC41FB"/>
    <w:rsid w:val="00CC670D"/>
    <w:rsid w:val="00CC6C0A"/>
    <w:rsid w:val="00CC7242"/>
    <w:rsid w:val="00CD08BB"/>
    <w:rsid w:val="00CD2562"/>
    <w:rsid w:val="00CD3DEB"/>
    <w:rsid w:val="00CD6169"/>
    <w:rsid w:val="00CD63B4"/>
    <w:rsid w:val="00CD6B2F"/>
    <w:rsid w:val="00CE0F53"/>
    <w:rsid w:val="00CE2D8C"/>
    <w:rsid w:val="00CE5B5C"/>
    <w:rsid w:val="00CF2B9B"/>
    <w:rsid w:val="00CF4D01"/>
    <w:rsid w:val="00CF66A6"/>
    <w:rsid w:val="00D05298"/>
    <w:rsid w:val="00D06B7D"/>
    <w:rsid w:val="00D07415"/>
    <w:rsid w:val="00D07C67"/>
    <w:rsid w:val="00D132F3"/>
    <w:rsid w:val="00D16263"/>
    <w:rsid w:val="00D20DB1"/>
    <w:rsid w:val="00D21553"/>
    <w:rsid w:val="00D23752"/>
    <w:rsid w:val="00D24606"/>
    <w:rsid w:val="00D25EBA"/>
    <w:rsid w:val="00D26438"/>
    <w:rsid w:val="00D26870"/>
    <w:rsid w:val="00D2695D"/>
    <w:rsid w:val="00D31B98"/>
    <w:rsid w:val="00D33B3D"/>
    <w:rsid w:val="00D33CE0"/>
    <w:rsid w:val="00D4059E"/>
    <w:rsid w:val="00D41608"/>
    <w:rsid w:val="00D42527"/>
    <w:rsid w:val="00D44917"/>
    <w:rsid w:val="00D61FFF"/>
    <w:rsid w:val="00D65E70"/>
    <w:rsid w:val="00D669BE"/>
    <w:rsid w:val="00D72256"/>
    <w:rsid w:val="00D72378"/>
    <w:rsid w:val="00D725B8"/>
    <w:rsid w:val="00D73295"/>
    <w:rsid w:val="00D75D7E"/>
    <w:rsid w:val="00D760AD"/>
    <w:rsid w:val="00D819EA"/>
    <w:rsid w:val="00D82A84"/>
    <w:rsid w:val="00D847A1"/>
    <w:rsid w:val="00D84CA1"/>
    <w:rsid w:val="00D86697"/>
    <w:rsid w:val="00D877CC"/>
    <w:rsid w:val="00D90744"/>
    <w:rsid w:val="00D922DF"/>
    <w:rsid w:val="00D924F3"/>
    <w:rsid w:val="00D9483C"/>
    <w:rsid w:val="00D9717A"/>
    <w:rsid w:val="00D97FAB"/>
    <w:rsid w:val="00DA30EC"/>
    <w:rsid w:val="00DA32C1"/>
    <w:rsid w:val="00DA35C1"/>
    <w:rsid w:val="00DA6009"/>
    <w:rsid w:val="00DA709E"/>
    <w:rsid w:val="00DB4DA9"/>
    <w:rsid w:val="00DB5043"/>
    <w:rsid w:val="00DB5FA1"/>
    <w:rsid w:val="00DC263D"/>
    <w:rsid w:val="00DC3FA5"/>
    <w:rsid w:val="00DC40D3"/>
    <w:rsid w:val="00DC59F5"/>
    <w:rsid w:val="00DC5A9F"/>
    <w:rsid w:val="00DD0F12"/>
    <w:rsid w:val="00DD212E"/>
    <w:rsid w:val="00DD3314"/>
    <w:rsid w:val="00DD3A44"/>
    <w:rsid w:val="00DD44E7"/>
    <w:rsid w:val="00DD6DB7"/>
    <w:rsid w:val="00DD79A6"/>
    <w:rsid w:val="00DD7EB1"/>
    <w:rsid w:val="00DE30AD"/>
    <w:rsid w:val="00DE3637"/>
    <w:rsid w:val="00DE5394"/>
    <w:rsid w:val="00DE5AC9"/>
    <w:rsid w:val="00DF1B63"/>
    <w:rsid w:val="00DF2626"/>
    <w:rsid w:val="00DF3C3A"/>
    <w:rsid w:val="00DF52EE"/>
    <w:rsid w:val="00DF56ED"/>
    <w:rsid w:val="00DF6542"/>
    <w:rsid w:val="00DF6BAD"/>
    <w:rsid w:val="00E0067E"/>
    <w:rsid w:val="00E01397"/>
    <w:rsid w:val="00E01F5E"/>
    <w:rsid w:val="00E0430A"/>
    <w:rsid w:val="00E04517"/>
    <w:rsid w:val="00E046DC"/>
    <w:rsid w:val="00E05352"/>
    <w:rsid w:val="00E13485"/>
    <w:rsid w:val="00E13F50"/>
    <w:rsid w:val="00E140D7"/>
    <w:rsid w:val="00E21C78"/>
    <w:rsid w:val="00E253EB"/>
    <w:rsid w:val="00E26CAB"/>
    <w:rsid w:val="00E31384"/>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222D"/>
    <w:rsid w:val="00E666D8"/>
    <w:rsid w:val="00E67B79"/>
    <w:rsid w:val="00E713B1"/>
    <w:rsid w:val="00E71A1F"/>
    <w:rsid w:val="00E722AC"/>
    <w:rsid w:val="00E7311E"/>
    <w:rsid w:val="00E73416"/>
    <w:rsid w:val="00E73DFA"/>
    <w:rsid w:val="00E74142"/>
    <w:rsid w:val="00E748D1"/>
    <w:rsid w:val="00E7799B"/>
    <w:rsid w:val="00E80108"/>
    <w:rsid w:val="00E82428"/>
    <w:rsid w:val="00E8515C"/>
    <w:rsid w:val="00E85327"/>
    <w:rsid w:val="00E85565"/>
    <w:rsid w:val="00E911AF"/>
    <w:rsid w:val="00E9194F"/>
    <w:rsid w:val="00E91C38"/>
    <w:rsid w:val="00E94D39"/>
    <w:rsid w:val="00E9710A"/>
    <w:rsid w:val="00E975E3"/>
    <w:rsid w:val="00EA1B79"/>
    <w:rsid w:val="00EA2777"/>
    <w:rsid w:val="00EA2B94"/>
    <w:rsid w:val="00EA2BCD"/>
    <w:rsid w:val="00EA5EDA"/>
    <w:rsid w:val="00EA75B6"/>
    <w:rsid w:val="00EA7A66"/>
    <w:rsid w:val="00EB0B99"/>
    <w:rsid w:val="00EB0BA9"/>
    <w:rsid w:val="00EB2BE2"/>
    <w:rsid w:val="00EB465C"/>
    <w:rsid w:val="00EB51B8"/>
    <w:rsid w:val="00EB7A96"/>
    <w:rsid w:val="00EB7B55"/>
    <w:rsid w:val="00EC4236"/>
    <w:rsid w:val="00EC4380"/>
    <w:rsid w:val="00EC6591"/>
    <w:rsid w:val="00EC71BF"/>
    <w:rsid w:val="00EC7CA5"/>
    <w:rsid w:val="00ED1029"/>
    <w:rsid w:val="00ED1042"/>
    <w:rsid w:val="00ED13D4"/>
    <w:rsid w:val="00ED44C8"/>
    <w:rsid w:val="00ED4FD8"/>
    <w:rsid w:val="00ED5CC9"/>
    <w:rsid w:val="00ED60E8"/>
    <w:rsid w:val="00ED6764"/>
    <w:rsid w:val="00EE2749"/>
    <w:rsid w:val="00EE39BE"/>
    <w:rsid w:val="00EE42FC"/>
    <w:rsid w:val="00EE448D"/>
    <w:rsid w:val="00EE5DC9"/>
    <w:rsid w:val="00EF0513"/>
    <w:rsid w:val="00EF0CE4"/>
    <w:rsid w:val="00EF26D6"/>
    <w:rsid w:val="00EF5592"/>
    <w:rsid w:val="00EF6588"/>
    <w:rsid w:val="00EF7F02"/>
    <w:rsid w:val="00F02761"/>
    <w:rsid w:val="00F0281F"/>
    <w:rsid w:val="00F03ACF"/>
    <w:rsid w:val="00F05AB4"/>
    <w:rsid w:val="00F06043"/>
    <w:rsid w:val="00F069CF"/>
    <w:rsid w:val="00F10801"/>
    <w:rsid w:val="00F1533F"/>
    <w:rsid w:val="00F15DB0"/>
    <w:rsid w:val="00F1618B"/>
    <w:rsid w:val="00F22934"/>
    <w:rsid w:val="00F23FCD"/>
    <w:rsid w:val="00F27139"/>
    <w:rsid w:val="00F30907"/>
    <w:rsid w:val="00F33272"/>
    <w:rsid w:val="00F36020"/>
    <w:rsid w:val="00F365D1"/>
    <w:rsid w:val="00F4139C"/>
    <w:rsid w:val="00F460DE"/>
    <w:rsid w:val="00F50819"/>
    <w:rsid w:val="00F51D2B"/>
    <w:rsid w:val="00F529C7"/>
    <w:rsid w:val="00F56152"/>
    <w:rsid w:val="00F61365"/>
    <w:rsid w:val="00F65473"/>
    <w:rsid w:val="00F66DBB"/>
    <w:rsid w:val="00F70353"/>
    <w:rsid w:val="00F71C4A"/>
    <w:rsid w:val="00F77244"/>
    <w:rsid w:val="00F80629"/>
    <w:rsid w:val="00F8334E"/>
    <w:rsid w:val="00F865DD"/>
    <w:rsid w:val="00F86F12"/>
    <w:rsid w:val="00F876EC"/>
    <w:rsid w:val="00F91DBE"/>
    <w:rsid w:val="00F92291"/>
    <w:rsid w:val="00F936E5"/>
    <w:rsid w:val="00F9586B"/>
    <w:rsid w:val="00F95AD1"/>
    <w:rsid w:val="00FA196B"/>
    <w:rsid w:val="00FA24B5"/>
    <w:rsid w:val="00FA2E61"/>
    <w:rsid w:val="00FA3983"/>
    <w:rsid w:val="00FA4410"/>
    <w:rsid w:val="00FA47D7"/>
    <w:rsid w:val="00FA7365"/>
    <w:rsid w:val="00FA74DF"/>
    <w:rsid w:val="00FB0084"/>
    <w:rsid w:val="00FB0C94"/>
    <w:rsid w:val="00FB1B1D"/>
    <w:rsid w:val="00FB1F0C"/>
    <w:rsid w:val="00FB4AF0"/>
    <w:rsid w:val="00FB4F95"/>
    <w:rsid w:val="00FB5037"/>
    <w:rsid w:val="00FC0004"/>
    <w:rsid w:val="00FC19C5"/>
    <w:rsid w:val="00FC1B92"/>
    <w:rsid w:val="00FC2854"/>
    <w:rsid w:val="00FC2E4B"/>
    <w:rsid w:val="00FC5180"/>
    <w:rsid w:val="00FC6CE6"/>
    <w:rsid w:val="00FC7D71"/>
    <w:rsid w:val="00FD0F47"/>
    <w:rsid w:val="00FD387A"/>
    <w:rsid w:val="00FE036B"/>
    <w:rsid w:val="00FE19E4"/>
    <w:rsid w:val="00FE4E45"/>
    <w:rsid w:val="00FE68F9"/>
    <w:rsid w:val="00FE7163"/>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7359</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1284</cp:revision>
  <dcterms:created xsi:type="dcterms:W3CDTF">2024-01-22T19:19:00Z</dcterms:created>
  <dcterms:modified xsi:type="dcterms:W3CDTF">2024-11-22T02:20:00Z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