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6FF6DB" w14:textId="6D669255" w:rsidR="003F7A74" w:rsidRPr="007D497B" w:rsidRDefault="003F7A74" w:rsidP="00986C94">
      <w:pPr>
        <w:pStyle w:val="Heading1"/>
        <w:spacing w:line="240" w:lineRule="auto"/>
        <w:jc w:val="center"/>
        <w:rPr>
          <w:sz w:val="32"/>
        </w:rPr>
      </w:pPr>
      <w:r w:rsidRPr="007D497B">
        <w:rPr>
          <w:sz w:val="32"/>
        </w:rPr>
        <w:t xml:space="preserve">Drought Impacts on Cattle Stocking Rate </w:t>
      </w:r>
    </w:p>
    <w:p w14:paraId="103CAD6F" w14:textId="77777777" w:rsidR="00B662A9" w:rsidRPr="00B41BF2" w:rsidRDefault="00B662A9" w:rsidP="00B662A9">
      <w:pPr>
        <w:pStyle w:val="Heading1"/>
        <w:rPr>
          <w:bCs/>
        </w:rPr>
      </w:pPr>
      <w:r w:rsidRPr="005D7316">
        <w:t>Introduction</w:t>
      </w:r>
    </w:p>
    <w:p w14:paraId="71F0DA3B" w14:textId="7F621668" w:rsidR="00E829C2" w:rsidRDefault="00E829C2" w:rsidP="00E829C2">
      <w:r w:rsidRPr="00E829C2">
        <w:t>Stocking rate is a fundamental decision in grazing management, directly affecting forage utilization, ecological resilience, and long-term rangeland sustainability (Smart et al. 2010; Holechek 1988). An optimal stocking rate maximizes forage use while preventing overgrazing, whereas improper stocking</w:t>
      </w:r>
      <w:r>
        <w:t xml:space="preserve"> - </w:t>
      </w:r>
      <w:r w:rsidRPr="00E829C2">
        <w:t>whether too high or too low</w:t>
      </w:r>
      <w:r>
        <w:t xml:space="preserve"> - </w:t>
      </w:r>
      <w:r w:rsidRPr="00E829C2">
        <w:t xml:space="preserve">can lead to land degradation, reduced biodiversity, and lower livestock productivity (National Drought Mitigation Center, n.d.; Redfearn and Bidwell 2017). </w:t>
      </w:r>
    </w:p>
    <w:p w14:paraId="13320748" w14:textId="63365426" w:rsidR="00B662A9" w:rsidRDefault="0071277F" w:rsidP="00E829C2">
      <w:pPr>
        <w:ind w:firstLine="720"/>
      </w:pPr>
      <w:r w:rsidRPr="0071277F">
        <w:t xml:space="preserve">According to Dennis (2021), </w:t>
      </w:r>
      <w:r w:rsidR="00FF648A">
        <w:t xml:space="preserve">cattle </w:t>
      </w:r>
      <w:r w:rsidRPr="0071277F">
        <w:t xml:space="preserve">stocking rates have been declining over time as more acres are required per cow to sustain grazing. </w:t>
      </w:r>
      <w:r w:rsidR="0024486C" w:rsidRPr="0024486C">
        <w:t xml:space="preserve">This trend </w:t>
      </w:r>
      <w:r w:rsidR="008A118F">
        <w:t xml:space="preserve">can be </w:t>
      </w:r>
      <w:r w:rsidR="0024486C" w:rsidRPr="0024486C">
        <w:t xml:space="preserve">driven by multiple factors, including climate variability, increasing cattle weights affecting harvesting practices, and land-use shifts driven by crop prices. </w:t>
      </w:r>
      <w:r w:rsidR="0020714D" w:rsidRPr="0020714D">
        <w:t>Among these, climate variability</w:t>
      </w:r>
      <w:r w:rsidR="00095B95">
        <w:t xml:space="preserve"> - </w:t>
      </w:r>
      <w:r w:rsidR="0020714D" w:rsidRPr="0020714D">
        <w:t>marked by rising temperatures and shifting precipitation patterns</w:t>
      </w:r>
      <w:r w:rsidR="00095B95">
        <w:t xml:space="preserve"> - </w:t>
      </w:r>
      <w:r w:rsidR="0020714D" w:rsidRPr="0020714D">
        <w:t xml:space="preserve">has emerged as </w:t>
      </w:r>
      <w:r w:rsidR="00095B95">
        <w:t>one of the</w:t>
      </w:r>
      <w:r w:rsidR="0020714D" w:rsidRPr="0020714D">
        <w:t xml:space="preserve"> key determinant</w:t>
      </w:r>
      <w:r w:rsidR="00F50F43">
        <w:t>s</w:t>
      </w:r>
      <w:r w:rsidR="0020714D" w:rsidRPr="0020714D">
        <w:t xml:space="preserve"> of stocking rates</w:t>
      </w:r>
      <w:r w:rsidR="00F50F43">
        <w:t xml:space="preserve"> (</w:t>
      </w:r>
      <w:r w:rsidR="00F50F43" w:rsidRPr="0071436A">
        <w:t>Mu, McCarl, and Wein 2013</w:t>
      </w:r>
      <w:r w:rsidR="00F50F43">
        <w:t>)</w:t>
      </w:r>
      <w:r w:rsidR="0020714D" w:rsidRPr="0020714D">
        <w:t xml:space="preserve">. </w:t>
      </w:r>
      <w:r w:rsidR="00C23A3D" w:rsidRPr="00C23A3D">
        <w:t>Insufficient precipitation reduces hay yields and crop residue, while excessive rainfall can cause waterlogging, nutrient loss, and increased reliance on irrigated feed resources. Additionally, more frequent and intense droughts disrupt the balance between stocking rates and forage availability, posing risks to agricultural systems and rangeland sustainability (Leeper et al. 2022; Iglesias, Travis, and Balch 2022). Given these dynamics, this study focuses on the relationship between weather variability and cattle stocking rates.</w:t>
      </w:r>
    </w:p>
    <w:p w14:paraId="71788249" w14:textId="5EF8B622" w:rsidR="003E537F" w:rsidRDefault="003F4CFE" w:rsidP="004D4953">
      <w:pPr>
        <w:ind w:firstLine="720"/>
      </w:pPr>
      <w:r w:rsidRPr="003F4CFE">
        <w:t>Previous studies have explored the relationship between climate variability and cattle production</w:t>
      </w:r>
      <w:r w:rsidR="00D1419B" w:rsidRPr="00361CBE">
        <w:t xml:space="preserve">. Klemm and Briske (2019) conducted a retrospective assessment of spatial and temporal distribution of beef cow numbers in relation to climate variability from 1978 to 2017 in the U.S. Great Plains. </w:t>
      </w:r>
      <w:r w:rsidR="00616198">
        <w:t xml:space="preserve">They </w:t>
      </w:r>
      <w:r w:rsidR="00616198" w:rsidRPr="00616198">
        <w:t>found that cattle numbers correlate positively with precipitation and negatively with temperature</w:t>
      </w:r>
      <w:r w:rsidR="00852516">
        <w:t>.</w:t>
      </w:r>
      <w:r w:rsidR="00727F74">
        <w:t xml:space="preserve"> </w:t>
      </w:r>
      <w:r w:rsidR="00085180" w:rsidRPr="00085180">
        <w:t>Rodziewicz, Dice, and Cowley (2023) conducted an econometric analysis of drought’s impact on cattle herd management, hay production, prices, and farm income from 2000 to 2022. Using USDA CropScape Data, the U.S. Drought Monitor, and a fixed-effects panel regression, they found that drought reduces hay production, raises hay prices, and leads to herd liquidation</w:t>
      </w:r>
      <w:r w:rsidR="002303A9">
        <w:t xml:space="preserve">, </w:t>
      </w:r>
      <w:r w:rsidR="002303A9" w:rsidRPr="002303A9">
        <w:t xml:space="preserve">ultimately lowering </w:t>
      </w:r>
      <w:r w:rsidR="002303A9">
        <w:t xml:space="preserve">long-term </w:t>
      </w:r>
      <w:r w:rsidR="002303A9" w:rsidRPr="002303A9">
        <w:t>farm income</w:t>
      </w:r>
      <w:r w:rsidR="002303A9">
        <w:t>.</w:t>
      </w:r>
      <w:r w:rsidR="00120731">
        <w:t xml:space="preserve"> </w:t>
      </w:r>
      <w:r w:rsidR="0071436A" w:rsidRPr="0071436A">
        <w:t xml:space="preserve">Mu, McCarl, and </w:t>
      </w:r>
      <w:r w:rsidR="0071436A" w:rsidRPr="0071436A">
        <w:lastRenderedPageBreak/>
        <w:t xml:space="preserve">Wein (2013) explore how U.S. agricultural producers are adapting to climate change, particularly through changes in land use and cattle stocking rates. </w:t>
      </w:r>
      <w:r w:rsidR="00EB37E0" w:rsidRPr="00EB37E0">
        <w:t>They found that higher summer temperatures and reduced precipitation lead to significant declines in stocking rates</w:t>
      </w:r>
      <w:r w:rsidR="00EB37E0">
        <w:t xml:space="preserve">. </w:t>
      </w:r>
      <w:r w:rsidR="002A795A">
        <w:t xml:space="preserve">They </w:t>
      </w:r>
      <w:r w:rsidR="002A795A" w:rsidRPr="002A795A">
        <w:t>projected that stocking rates will decline by 10–15% under climate change scenarios, driven by rising temperatures and shifts from cropland to pastureland.</w:t>
      </w:r>
      <w:r w:rsidR="004D4953">
        <w:t xml:space="preserve"> </w:t>
      </w:r>
      <w:r w:rsidR="009A4CB8" w:rsidRPr="00361CBE">
        <w:t xml:space="preserve">Ritten et al. (2010) examined optimal stocking decisions on rangelands in the context of unpredictable weather patterns and climate change impacts. </w:t>
      </w:r>
      <w:r w:rsidR="0016152E" w:rsidRPr="0016152E">
        <w:t>Their findings highlight the importance of flexible stocking rates to mitigate financial risks under increasing drought and extreme weather events.</w:t>
      </w:r>
      <w:r w:rsidR="0016152E">
        <w:t xml:space="preserve"> </w:t>
      </w:r>
      <w:r w:rsidR="00E65EA8" w:rsidRPr="00E65EA8">
        <w:t>While these studies provide valuable insights, they primarily focus on broad economic trends and long-term projections rather than short-term producer decisions in response to climate stress.</w:t>
      </w:r>
    </w:p>
    <w:p w14:paraId="590EC74A" w14:textId="77777777" w:rsidR="0066460C" w:rsidRDefault="0066460C" w:rsidP="00B662A9">
      <w:pPr>
        <w:ind w:firstLine="720"/>
      </w:pPr>
      <w:r w:rsidRPr="0066460C">
        <w:t>Using USDA Census of Agriculture and PRISM weather data, we expand the scope of existing research by incorporating a broader set of climate stress indicators to capture the multifaceted impacts of climate variability on stocking rates. Specifically, Potential Evapotranspiration (PET), Growing Degree Days (GDD), and Extreme Degree Days (EDD) account for water availability, heat stress, and thermal exposure, respectively. Through an econometric framework, we analyze and quantify how drought frequency and severity influence producer decisions, offering insights into adaptive management strategies for sustainable grazing.</w:t>
      </w:r>
    </w:p>
    <w:p w14:paraId="633D3CF2" w14:textId="2E0E8BCE" w:rsidR="00647A2B" w:rsidRDefault="00265090" w:rsidP="00B662A9">
      <w:pPr>
        <w:ind w:firstLine="720"/>
      </w:pPr>
      <w:r w:rsidRPr="00265090">
        <w:t>We found that stocking rates are strongly influenced by drought conditions and hay availability. Drought effects persist over time, with severe droughts reducing stocking rates by up to 18%. Hay stock has a nonlinear impact, where low levels reduce stocking rates, but higher levels help stabilize them.</w:t>
      </w:r>
      <w:r w:rsidR="00076855">
        <w:t xml:space="preserve"> </w:t>
      </w:r>
      <w:r w:rsidR="00076855" w:rsidRPr="00076855">
        <w:t xml:space="preserve">Projections from multiple climate models suggest that under moderate climate change stocking rates decline gradually over time. In contrast, under severe climate change, stocking rates drop sharply </w:t>
      </w:r>
      <w:r w:rsidR="00EE7EEA">
        <w:t>and illustrate more volatile patterns.</w:t>
      </w:r>
      <w:r w:rsidR="00076855" w:rsidRPr="00076855">
        <w:t xml:space="preserve"> These findings highlight the need for adaptive grazing strategies to sustain livestock production under changing climate conditions.</w:t>
      </w:r>
    </w:p>
    <w:p w14:paraId="70EB279C" w14:textId="1114BA56" w:rsidR="00B662A9" w:rsidRDefault="00B662A9" w:rsidP="00B662A9">
      <w:pPr>
        <w:ind w:firstLine="720"/>
      </w:pPr>
      <w:r w:rsidRPr="001B4A08">
        <w:t>This paper is organized as follows: this section is followed by</w:t>
      </w:r>
      <w:r w:rsidR="000064A9" w:rsidRPr="001B4A08">
        <w:t xml:space="preserve"> d</w:t>
      </w:r>
      <w:r w:rsidRPr="001B4A08">
        <w:t>ata</w:t>
      </w:r>
      <w:r w:rsidR="000064A9" w:rsidRPr="001B4A08">
        <w:t xml:space="preserve">, </w:t>
      </w:r>
      <w:r w:rsidR="009E136D" w:rsidRPr="001B4A08">
        <w:t xml:space="preserve">econometric </w:t>
      </w:r>
      <w:r w:rsidRPr="001B4A08">
        <w:t>methods</w:t>
      </w:r>
      <w:r w:rsidR="000064A9" w:rsidRPr="001B4A08">
        <w:t xml:space="preserve">, </w:t>
      </w:r>
      <w:r w:rsidRPr="001B4A08">
        <w:t>results, discussion</w:t>
      </w:r>
      <w:r w:rsidR="009E136D" w:rsidRPr="001B4A08">
        <w:t xml:space="preserve"> </w:t>
      </w:r>
      <w:r w:rsidRPr="001B4A08">
        <w:t>and concludes with final remarks and policy implications.</w:t>
      </w:r>
    </w:p>
    <w:p w14:paraId="05A6F97F" w14:textId="77777777" w:rsidR="004E2C13" w:rsidRDefault="004E2C13" w:rsidP="004E2C13">
      <w:pPr>
        <w:pStyle w:val="Heading1"/>
      </w:pPr>
      <w:r w:rsidRPr="00BA1D34">
        <w:lastRenderedPageBreak/>
        <w:t>Data</w:t>
      </w:r>
    </w:p>
    <w:p w14:paraId="71BE284B" w14:textId="77777777" w:rsidR="004E2C13" w:rsidRDefault="004E2C13" w:rsidP="004E2C13">
      <w:pPr>
        <w:pStyle w:val="Heading2"/>
      </w:pPr>
      <w:r>
        <w:t xml:space="preserve">Stocking rate </w:t>
      </w:r>
    </w:p>
    <w:p w14:paraId="271CB710" w14:textId="3745D9ED" w:rsidR="004E2C13" w:rsidRDefault="0088460D" w:rsidP="004E2C13">
      <w:r w:rsidRPr="0088460D">
        <w:t xml:space="preserve">To estimate cattle stocking rates, we retrieve county-level beef cow inventory data and pastureland data from the USDA Census of Agriculture for the period </w:t>
      </w:r>
      <w:r w:rsidR="004E2C13">
        <w:t>1982-2017</w:t>
      </w:r>
      <w:r w:rsidR="004E2C13">
        <w:rPr>
          <w:rStyle w:val="FootnoteReference"/>
        </w:rPr>
        <w:footnoteReference w:id="1"/>
      </w:r>
      <w:r w:rsidR="004E2C13">
        <w:t xml:space="preserve"> (USDA 2024).</w:t>
      </w:r>
      <w:r w:rsidR="008C617C" w:rsidRPr="008C617C">
        <w:t xml:space="preserve"> </w:t>
      </w:r>
      <w:r w:rsidR="00987FDC" w:rsidRPr="00987FDC">
        <w:t>Figure 1 illustrates historical trends in pastureland use and beef inventory data (as of December) across the United States. Over time, beef cow inventory has fluctuated, with notable declines observed around 1983, 2012, and 2018, while pastureland use has exhibited a steady decline.</w:t>
      </w:r>
    </w:p>
    <w:p w14:paraId="13A7B75C" w14:textId="77777777" w:rsidR="004E2C13" w:rsidRDefault="004E2C13" w:rsidP="004E2C13">
      <w:pPr>
        <w:keepNext/>
      </w:pPr>
      <w:r w:rsidRPr="00DE138B">
        <w:rPr>
          <w:noProof/>
        </w:rPr>
        <w:drawing>
          <wp:inline distT="0" distB="0" distL="0" distR="0" wp14:anchorId="5F413A9A" wp14:editId="493E17C6">
            <wp:extent cx="3725165" cy="2451207"/>
            <wp:effectExtent l="0" t="0" r="0" b="0"/>
            <wp:docPr id="1212620029" name="Picture 1" descr="A graph showing the growth of cat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620029" name="Picture 1" descr="A graph showing the growth of cattle&#10;&#10;Description automatically generated"/>
                    <pic:cNvPicPr/>
                  </pic:nvPicPr>
                  <pic:blipFill>
                    <a:blip r:embed="rId8"/>
                    <a:stretch>
                      <a:fillRect/>
                    </a:stretch>
                  </pic:blipFill>
                  <pic:spPr>
                    <a:xfrm>
                      <a:off x="0" y="0"/>
                      <a:ext cx="3791373" cy="2494772"/>
                    </a:xfrm>
                    <a:prstGeom prst="rect">
                      <a:avLst/>
                    </a:prstGeom>
                  </pic:spPr>
                </pic:pic>
              </a:graphicData>
            </a:graphic>
          </wp:inline>
        </w:drawing>
      </w:r>
    </w:p>
    <w:p w14:paraId="2431F008" w14:textId="54DBE0B5" w:rsidR="004E2C13" w:rsidRPr="00D61AC7" w:rsidRDefault="004E2C13" w:rsidP="004E2C13">
      <w:pPr>
        <w:pStyle w:val="NoSpacing"/>
        <w:rPr>
          <w:b/>
          <w:bCs/>
          <w:sz w:val="22"/>
          <w:szCs w:val="22"/>
        </w:rPr>
      </w:pPr>
      <w:r w:rsidRPr="00D61AC7">
        <w:rPr>
          <w:b/>
          <w:bCs/>
          <w:sz w:val="22"/>
          <w:szCs w:val="22"/>
        </w:rPr>
        <w:t xml:space="preserve">Figure </w:t>
      </w:r>
      <w:r w:rsidR="00BE6025">
        <w:rPr>
          <w:b/>
          <w:bCs/>
          <w:sz w:val="22"/>
          <w:szCs w:val="22"/>
        </w:rPr>
        <w:t>1</w:t>
      </w:r>
      <w:r w:rsidRPr="00D61AC7">
        <w:rPr>
          <w:b/>
          <w:bCs/>
          <w:sz w:val="22"/>
          <w:szCs w:val="22"/>
        </w:rPr>
        <w:t xml:space="preserve">. </w:t>
      </w:r>
      <w:r>
        <w:rPr>
          <w:b/>
          <w:bCs/>
          <w:sz w:val="22"/>
          <w:szCs w:val="22"/>
        </w:rPr>
        <w:t xml:space="preserve">Annual </w:t>
      </w:r>
      <w:r w:rsidRPr="00D61AC7">
        <w:rPr>
          <w:b/>
          <w:bCs/>
          <w:sz w:val="22"/>
          <w:szCs w:val="22"/>
        </w:rPr>
        <w:t>US national beef cow inventory and pastureland data.</w:t>
      </w:r>
    </w:p>
    <w:p w14:paraId="2AD231CF" w14:textId="77777777" w:rsidR="004E2C13" w:rsidRDefault="004E2C13" w:rsidP="004E2C13">
      <w:pPr>
        <w:pStyle w:val="NoSpacing"/>
        <w:rPr>
          <w:sz w:val="22"/>
          <w:szCs w:val="22"/>
        </w:rPr>
      </w:pPr>
      <w:r w:rsidRPr="00804FAB">
        <w:rPr>
          <w:sz w:val="22"/>
          <w:szCs w:val="22"/>
        </w:rPr>
        <w:t>Source: USDA</w:t>
      </w:r>
      <w:r>
        <w:rPr>
          <w:sz w:val="22"/>
          <w:szCs w:val="22"/>
        </w:rPr>
        <w:t>,</w:t>
      </w:r>
      <w:r w:rsidRPr="00804FAB">
        <w:rPr>
          <w:sz w:val="22"/>
          <w:szCs w:val="22"/>
        </w:rPr>
        <w:t xml:space="preserve"> NASS (2024). </w:t>
      </w:r>
    </w:p>
    <w:p w14:paraId="5CCD8FF0" w14:textId="77777777" w:rsidR="004E2C13" w:rsidRPr="00695852" w:rsidRDefault="004E2C13" w:rsidP="004E2C13">
      <w:pPr>
        <w:pStyle w:val="NoSpacing"/>
        <w:rPr>
          <w:sz w:val="22"/>
          <w:szCs w:val="22"/>
        </w:rPr>
      </w:pPr>
    </w:p>
    <w:p w14:paraId="5517DDCD" w14:textId="00FA41AC" w:rsidR="004E2C13" w:rsidRPr="00487E8D" w:rsidRDefault="00797AD4" w:rsidP="004E2C13">
      <w:pPr>
        <w:ind w:firstLine="720"/>
      </w:pPr>
      <w:r w:rsidRPr="00797AD4">
        <w:t>Stocking rate is commonly expressed in Animal Units (AU) or Animal Unit Months (AUM) per unit of land, where AU is defined as a mature cow weighing approximately 1,000 pounds, and AUM represents the amount of forage required to sustain one AU for one month (Redfearn and Bidwell 2017).</w:t>
      </w:r>
      <w:r>
        <w:t xml:space="preserve"> </w:t>
      </w:r>
      <w:r w:rsidR="00072912" w:rsidRPr="00072912">
        <w:t>To calculate total forage demand, the number of AUs is multiplied by the grazing duration (in months), yielding total AUMs required for the grazing period.</w:t>
      </w:r>
      <w:r w:rsidR="00072912">
        <w:t xml:space="preserve"> </w:t>
      </w:r>
      <w:r w:rsidR="004E2C13" w:rsidRPr="00892126">
        <w:t xml:space="preserve">Using </w:t>
      </w:r>
      <w:r w:rsidR="004E2C13">
        <w:t>this methodology</w:t>
      </w:r>
      <w:r w:rsidR="004E2C13" w:rsidRPr="00892126">
        <w:t>,</w:t>
      </w:r>
      <w:r w:rsidR="007B6800">
        <w:t xml:space="preserve"> </w:t>
      </w:r>
      <w:r w:rsidR="007B6800" w:rsidRPr="007B6800">
        <w:t>we compute the stocking rate (expressed in AUMs per acre) for a given county</w:t>
      </w:r>
      <w:r w:rsidR="004E2C13">
        <w:t xml:space="preserve"> </w:t>
      </w:r>
      <m:oMath>
        <m:r>
          <w:rPr>
            <w:rFonts w:ascii="Cambria Math" w:hAnsi="Cambria Math"/>
          </w:rPr>
          <m:t>i</m:t>
        </m:r>
      </m:oMath>
      <w:r w:rsidR="004E2C13">
        <w:t xml:space="preserve"> and year </w:t>
      </w:r>
      <m:oMath>
        <m:r>
          <w:rPr>
            <w:rFonts w:ascii="Cambria Math" w:hAnsi="Cambria Math"/>
          </w:rPr>
          <m:t>t</m:t>
        </m:r>
      </m:oMath>
      <w:r w:rsidR="004E2C13">
        <w:t xml:space="preserve"> </w:t>
      </w:r>
      <w:r w:rsidR="00CC2F83" w:rsidRPr="00CC2F83">
        <w:t>using the following formula</w:t>
      </w:r>
      <w:r w:rsidR="004E2C13">
        <w:t>:</w:t>
      </w:r>
    </w:p>
    <w:p w14:paraId="0FA4E5BB" w14:textId="440F526E" w:rsidR="004E2C13" w:rsidRPr="00A073D5" w:rsidRDefault="00000000" w:rsidP="004E2C13">
      <m:oMathPara>
        <m:oMath>
          <m:sSub>
            <m:sSubPr>
              <m:ctrlPr>
                <w:rPr>
                  <w:rFonts w:ascii="Cambria Math" w:hAnsi="Cambria Math"/>
                  <w:i/>
                </w:rPr>
              </m:ctrlPr>
            </m:sSubPr>
            <m:e>
              <m:r>
                <w:rPr>
                  <w:rFonts w:ascii="Cambria Math" w:hAnsi="Cambria Math"/>
                </w:rPr>
                <m:t>SR</m:t>
              </m:r>
            </m:e>
            <m:sub>
              <m:r>
                <w:rPr>
                  <w:rFonts w:ascii="Cambria Math" w:hAnsi="Cambria Math"/>
                </w:rPr>
                <m:t>it</m:t>
              </m:r>
            </m:sub>
          </m:sSub>
          <m:r>
            <w:rPr>
              <w:rFonts w:ascii="Cambria Math" w:hAnsi="Cambria Math"/>
            </w:rPr>
            <m:t xml:space="preserve">= </m:t>
          </m:r>
          <m:sSub>
            <m:sSubPr>
              <m:ctrlPr>
                <w:rPr>
                  <w:rFonts w:ascii="Cambria Math" w:hAnsi="Cambria Math"/>
                  <w:i/>
                </w:rPr>
              </m:ctrlPr>
            </m:sSubPr>
            <m:e>
              <m:r>
                <w:rPr>
                  <w:rFonts w:ascii="Cambria Math" w:hAnsi="Cambria Math"/>
                </w:rPr>
                <m:t>inventory</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liveweight</m:t>
                  </m:r>
                </m:e>
                <m:sub>
                  <m:r>
                    <w:rPr>
                      <w:rFonts w:ascii="Cambria Math" w:hAnsi="Cambria Math"/>
                    </w:rPr>
                    <m:t>t</m:t>
                  </m:r>
                </m:sub>
              </m:sSub>
            </m:num>
            <m:den>
              <m:r>
                <w:rPr>
                  <w:rFonts w:ascii="Cambria Math" w:hAnsi="Cambria Math"/>
                </w:rPr>
                <m:t>1,000</m:t>
              </m:r>
            </m:den>
          </m:f>
          <m:r>
            <w:rPr>
              <w:rFonts w:ascii="Cambria Math" w:hAnsi="Cambria Math"/>
            </w:rPr>
            <m:t>*</m:t>
          </m:r>
          <m:f>
            <m:fPr>
              <m:ctrlPr>
                <w:rPr>
                  <w:rFonts w:ascii="Cambria Math" w:hAnsi="Cambria Math"/>
                  <w:i/>
                </w:rPr>
              </m:ctrlPr>
            </m:fPr>
            <m:num>
              <m:r>
                <w:rPr>
                  <w:rFonts w:ascii="Cambria Math" w:hAnsi="Cambria Math"/>
                </w:rPr>
                <m:t>months</m:t>
              </m:r>
            </m:num>
            <m:den>
              <m:sSub>
                <m:sSubPr>
                  <m:ctrlPr>
                    <w:rPr>
                      <w:rFonts w:ascii="Cambria Math" w:hAnsi="Cambria Math"/>
                      <w:i/>
                    </w:rPr>
                  </m:ctrlPr>
                </m:sSubPr>
                <m:e>
                  <m:r>
                    <w:rPr>
                      <w:rFonts w:ascii="Cambria Math" w:hAnsi="Cambria Math"/>
                    </w:rPr>
                    <m:t>pastureland</m:t>
                  </m:r>
                </m:e>
                <m:sub>
                  <m:r>
                    <w:rPr>
                      <w:rFonts w:ascii="Cambria Math" w:hAnsi="Cambria Math"/>
                    </w:rPr>
                    <m:t>it</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Total AUM</m:t>
                  </m:r>
                </m:e>
                <m:sub>
                  <m:r>
                    <w:rPr>
                      <w:rFonts w:ascii="Cambria Math" w:hAnsi="Cambria Math"/>
                    </w:rPr>
                    <m:t>it</m:t>
                  </m:r>
                </m:sub>
              </m:sSub>
            </m:num>
            <m:den>
              <m:sSub>
                <m:sSubPr>
                  <m:ctrlPr>
                    <w:rPr>
                      <w:rFonts w:ascii="Cambria Math" w:hAnsi="Cambria Math"/>
                      <w:i/>
                    </w:rPr>
                  </m:ctrlPr>
                </m:sSubPr>
                <m:e>
                  <m:r>
                    <w:rPr>
                      <w:rFonts w:ascii="Cambria Math" w:hAnsi="Cambria Math"/>
                    </w:rPr>
                    <m:t>pastureland</m:t>
                  </m:r>
                </m:e>
                <m:sub>
                  <m:r>
                    <w:rPr>
                      <w:rFonts w:ascii="Cambria Math" w:hAnsi="Cambria Math"/>
                    </w:rPr>
                    <m:t>it</m:t>
                  </m:r>
                </m:sub>
              </m:sSub>
            </m:den>
          </m:f>
        </m:oMath>
      </m:oMathPara>
    </w:p>
    <w:p w14:paraId="440DEBC2" w14:textId="2754F95D" w:rsidR="004E2C13" w:rsidRPr="003449EC" w:rsidRDefault="008C1670" w:rsidP="004E2C13">
      <w:r w:rsidRPr="008C1670">
        <w:lastRenderedPageBreak/>
        <w:t xml:space="preserve">This formula accounts for three key components: the number of animals (inventory), forage demand, and available pastureland. </w:t>
      </w:r>
      <w:r w:rsidR="004E2C13">
        <w:t>The term</w:t>
      </w:r>
      <w:r w:rsidR="004E2C13" w:rsidRPr="001B07DD">
        <w:t> </w:t>
      </w:r>
      <m:oMath>
        <m:f>
          <m:fPr>
            <m:ctrlPr>
              <w:rPr>
                <w:rFonts w:ascii="Cambria Math" w:hAnsi="Cambria Math"/>
                <w:i/>
              </w:rPr>
            </m:ctrlPr>
          </m:fPr>
          <m:num>
            <m:sSub>
              <m:sSubPr>
                <m:ctrlPr>
                  <w:rPr>
                    <w:rFonts w:ascii="Cambria Math" w:hAnsi="Cambria Math"/>
                    <w:i/>
                  </w:rPr>
                </m:ctrlPr>
              </m:sSubPr>
              <m:e>
                <m:r>
                  <w:rPr>
                    <w:rFonts w:ascii="Cambria Math" w:hAnsi="Cambria Math"/>
                  </w:rPr>
                  <m:t>liveweight</m:t>
                </m:r>
              </m:e>
              <m:sub>
                <m:r>
                  <w:rPr>
                    <w:rFonts w:ascii="Cambria Math" w:hAnsi="Cambria Math"/>
                  </w:rPr>
                  <m:t>t</m:t>
                </m:r>
              </m:sub>
            </m:sSub>
            <m:r>
              <w:rPr>
                <w:rFonts w:ascii="Cambria Math" w:hAnsi="Cambria Math"/>
              </w:rPr>
              <m:t xml:space="preserve"> * months</m:t>
            </m:r>
          </m:num>
          <m:den>
            <m:r>
              <w:rPr>
                <w:rFonts w:ascii="Cambria Math" w:hAnsi="Cambria Math"/>
              </w:rPr>
              <m:t>1,000</m:t>
            </m:r>
          </m:den>
        </m:f>
      </m:oMath>
      <w:r w:rsidR="004E2C13">
        <w:t xml:space="preserve"> </w:t>
      </w:r>
      <w:r w:rsidR="00514C52" w:rsidRPr="00514C52">
        <w:t>standardizes forage requirements based on average cattle weight and grazing duration. By adjusting for grazing duration and dividing by total pastureland, the stocking rate reflects both forage availability and land constraints</w:t>
      </w:r>
      <w:r w:rsidR="004E2C13">
        <w:rPr>
          <w:rStyle w:val="FootnoteReference"/>
        </w:rPr>
        <w:footnoteReference w:id="2"/>
      </w:r>
      <w:r w:rsidR="004E2C13">
        <w:t xml:space="preserve">.  </w:t>
      </w:r>
    </w:p>
    <w:p w14:paraId="651A4D7D" w14:textId="6F7FCA8A" w:rsidR="004E2C13" w:rsidRPr="00062E35" w:rsidRDefault="00AA689A" w:rsidP="004E2C13">
      <w:pPr>
        <w:pStyle w:val="Heading2"/>
      </w:pPr>
      <w:r>
        <w:t>Weather</w:t>
      </w:r>
      <w:r w:rsidR="004E2C13" w:rsidRPr="00062E35">
        <w:t xml:space="preserve"> data</w:t>
      </w:r>
    </w:p>
    <w:p w14:paraId="3D1B9059" w14:textId="60EAF6A3" w:rsidR="004E2C13" w:rsidRDefault="00504BCD" w:rsidP="004E2C13">
      <w:r w:rsidRPr="00504BCD">
        <w:t>Drought mechanisms are influenced by a complex interplay of climatic, hydrological, and ecological factors that affect water availability in ecosystems (Srivastava and Maity 2023). A key aspect of drought is the imbalance between water supply, primarily driven by precipitation, and water demand, which is influenced by temperature, vegetation, and atmospheric conditions. Understanding drought requires quantifying these components, particularly evapotranspiration, which represents the loss of water through evaporation and plant transpiration</w:t>
      </w:r>
      <w:r w:rsidR="00DC4CCA">
        <w:t xml:space="preserve"> (</w:t>
      </w:r>
      <w:r w:rsidR="00334795" w:rsidRPr="00334795">
        <w:t>Granger 1989</w:t>
      </w:r>
      <w:r w:rsidR="00DC4CCA">
        <w:t>)</w:t>
      </w:r>
      <w:r w:rsidRPr="00504BCD">
        <w:t xml:space="preserve">. </w:t>
      </w:r>
      <w:r w:rsidR="00D53CCF" w:rsidRPr="00D53CCF">
        <w:t>To construct a drought indicator, we estimate potential evapotranspiration (PET), which measures the amount of water that could evaporate under prevailing weather conditions. PET is calculated using the Thornthwaite method (Palmer and Havens 1958):</w:t>
      </w:r>
    </w:p>
    <w:p w14:paraId="657D7B4C" w14:textId="77777777" w:rsidR="004E2C13" w:rsidRPr="00ED4FD8" w:rsidRDefault="00000000" w:rsidP="004E2C13">
      <w:pPr>
        <w:ind w:firstLine="720"/>
      </w:pPr>
      <m:oMathPara>
        <m:oMath>
          <m:sSup>
            <m:sSupPr>
              <m:ctrlPr>
                <w:rPr>
                  <w:rFonts w:ascii="Cambria Math" w:hAnsi="Cambria Math"/>
                  <w:i/>
                </w:rPr>
              </m:ctrlPr>
            </m:sSupPr>
            <m:e>
              <m:r>
                <w:rPr>
                  <w:rFonts w:ascii="Cambria Math" w:hAnsi="Cambria Math"/>
                </w:rPr>
                <m:t>PET</m:t>
              </m:r>
            </m:e>
            <m:sup>
              <m:r>
                <w:rPr>
                  <w:rFonts w:ascii="Cambria Math" w:hAnsi="Cambria Math"/>
                </w:rPr>
                <m:t>*</m:t>
              </m:r>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16 </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 xml:space="preserve">10 </m:t>
                                    </m:r>
                                    <m:sSub>
                                      <m:sSubPr>
                                        <m:ctrlPr>
                                          <w:rPr>
                                            <w:rFonts w:ascii="Cambria Math" w:hAnsi="Cambria Math"/>
                                            <w:i/>
                                          </w:rPr>
                                        </m:ctrlPr>
                                      </m:sSubPr>
                                      <m:e>
                                        <m:r>
                                          <w:rPr>
                                            <w:rFonts w:ascii="Cambria Math" w:hAnsi="Cambria Math"/>
                                          </w:rPr>
                                          <m:t>T</m:t>
                                        </m:r>
                                      </m:e>
                                      <m:sub>
                                        <m:r>
                                          <w:rPr>
                                            <w:rFonts w:ascii="Cambria Math" w:hAnsi="Cambria Math"/>
                                          </w:rPr>
                                          <m:t>mean</m:t>
                                        </m:r>
                                      </m:sub>
                                    </m:sSub>
                                  </m:num>
                                  <m:den>
                                    <m:r>
                                      <w:rPr>
                                        <w:rFonts w:ascii="Cambria Math" w:hAnsi="Cambria Math"/>
                                      </w:rPr>
                                      <m:t>I</m:t>
                                    </m:r>
                                  </m:den>
                                </m:f>
                              </m:e>
                            </m:mr>
                          </m:m>
                        </m:e>
                      </m:d>
                    </m:e>
                    <m:sup>
                      <m:r>
                        <w:rPr>
                          <w:rFonts w:ascii="Cambria Math" w:hAnsi="Cambria Math"/>
                        </w:rPr>
                        <m:t>a</m:t>
                      </m:r>
                    </m:sup>
                  </m:sSup>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mean</m:t>
                      </m:r>
                    </m:sub>
                  </m:sSub>
                  <m:r>
                    <w:rPr>
                      <w:rFonts w:ascii="Cambria Math" w:hAnsi="Cambria Math"/>
                    </w:rPr>
                    <m:t xml:space="preserve">&gt;0  </m:t>
                  </m:r>
                </m:e>
                <m:e>
                  <m:r>
                    <w:rPr>
                      <w:rFonts w:ascii="Cambria Math" w:hAnsi="Cambria Math"/>
                    </w:rPr>
                    <m:t xml:space="preserve">0,  </m:t>
                  </m:r>
                  <m:sSub>
                    <m:sSubPr>
                      <m:ctrlPr>
                        <w:rPr>
                          <w:rFonts w:ascii="Cambria Math" w:hAnsi="Cambria Math"/>
                          <w:i/>
                        </w:rPr>
                      </m:ctrlPr>
                    </m:sSubPr>
                    <m:e>
                      <m:r>
                        <w:rPr>
                          <w:rFonts w:ascii="Cambria Math" w:hAnsi="Cambria Math"/>
                        </w:rPr>
                        <m:t xml:space="preserve">                          T</m:t>
                      </m:r>
                    </m:e>
                    <m:sub>
                      <m:r>
                        <w:rPr>
                          <w:rFonts w:ascii="Cambria Math" w:hAnsi="Cambria Math"/>
                        </w:rPr>
                        <m:t>mean</m:t>
                      </m:r>
                    </m:sub>
                  </m:sSub>
                  <m:r>
                    <w:rPr>
                      <w:rFonts w:ascii="Cambria Math" w:hAnsi="Cambria Math"/>
                    </w:rPr>
                    <m:t xml:space="preserve"> ≤0</m:t>
                  </m:r>
                </m:e>
              </m:eqArr>
            </m:e>
          </m:d>
        </m:oMath>
      </m:oMathPara>
    </w:p>
    <w:p w14:paraId="19F01211" w14:textId="77777777" w:rsidR="004E2C13" w:rsidRPr="002B164B" w:rsidRDefault="004E2C13" w:rsidP="004E2C13">
      <w:pPr>
        <w:ind w:firstLine="720"/>
        <w:jc w:val="center"/>
      </w:pPr>
      <m:oMathPara>
        <m:oMath>
          <m:r>
            <w:rPr>
              <w:rFonts w:ascii="Cambria Math" w:hAnsi="Cambria Math"/>
            </w:rPr>
            <m:t>I=</m:t>
          </m:r>
          <m:nary>
            <m:naryPr>
              <m:chr m:val="∑"/>
              <m:limLoc m:val="undOvr"/>
              <m:ctrlPr>
                <w:rPr>
                  <w:rFonts w:ascii="Cambria Math" w:hAnsi="Cambria Math"/>
                  <w:i/>
                </w:rPr>
              </m:ctrlPr>
            </m:naryPr>
            <m:sub>
              <m:r>
                <w:rPr>
                  <w:rFonts w:ascii="Cambria Math" w:hAnsi="Cambria Math"/>
                </w:rPr>
                <m:t>j=1</m:t>
              </m:r>
            </m:sub>
            <m:sup>
              <m:r>
                <w:rPr>
                  <w:rFonts w:ascii="Cambria Math" w:hAnsi="Cambria Math"/>
                </w:rPr>
                <m:t>12</m:t>
              </m:r>
            </m:sup>
            <m:e>
              <m:sSub>
                <m:sSubPr>
                  <m:ctrlPr>
                    <w:rPr>
                      <w:rFonts w:ascii="Cambria Math" w:hAnsi="Cambria Math"/>
                      <w:i/>
                    </w:rPr>
                  </m:ctrlPr>
                </m:sSubPr>
                <m:e>
                  <m:r>
                    <w:rPr>
                      <w:rFonts w:ascii="Cambria Math" w:hAnsi="Cambria Math"/>
                    </w:rPr>
                    <m:t>i</m:t>
                  </m:r>
                </m:e>
                <m:sub>
                  <m:r>
                    <w:rPr>
                      <w:rFonts w:ascii="Cambria Math" w:hAnsi="Cambria Math"/>
                    </w:rPr>
                    <m:t>j</m:t>
                  </m:r>
                </m:sub>
              </m:sSub>
            </m:e>
          </m:nary>
        </m:oMath>
      </m:oMathPara>
    </w:p>
    <w:p w14:paraId="29F1C887" w14:textId="77777777" w:rsidR="004E2C13" w:rsidRPr="00496227" w:rsidRDefault="004E2C13" w:rsidP="004E2C13">
      <w:pPr>
        <w:ind w:firstLine="720"/>
        <w:jc w:val="center"/>
      </w:pPr>
      <m:oMathPara>
        <m:oMath>
          <m:r>
            <w:rPr>
              <w:rFonts w:ascii="Cambria Math" w:hAnsi="Cambria Math"/>
            </w:rPr>
            <m:t xml:space="preserve">  i=</m:t>
          </m:r>
          <m:sSup>
            <m:sSupPr>
              <m:ctrlPr>
                <w:rPr>
                  <w:rFonts w:ascii="Cambria Math" w:hAnsi="Cambria Math"/>
                  <w:i/>
                </w:rPr>
              </m:ctrlPr>
            </m:sSup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mean</m:t>
                                </m:r>
                              </m:sub>
                            </m:sSub>
                          </m:num>
                          <m:den>
                            <m:r>
                              <w:rPr>
                                <w:rFonts w:ascii="Cambria Math" w:hAnsi="Cambria Math"/>
                              </w:rPr>
                              <m:t>5</m:t>
                            </m:r>
                          </m:den>
                        </m:f>
                      </m:e>
                    </m:mr>
                  </m:m>
                </m:e>
              </m:d>
            </m:e>
            <m:sup>
              <m:r>
                <w:rPr>
                  <w:rFonts w:ascii="Cambria Math" w:hAnsi="Cambria Math"/>
                </w:rPr>
                <m:t>1.514</m:t>
              </m:r>
              <w:commentRangeStart w:id="0"/>
              <w:commentRangeEnd w:id="0"/>
              <m:r>
                <m:rPr>
                  <m:sty m:val="p"/>
                </m:rPr>
                <w:rPr>
                  <w:rStyle w:val="CommentReference"/>
                  <w:rFonts w:ascii="Cambria Math" w:hAnsi="Cambria Math"/>
                </w:rPr>
                <w:commentReference w:id="0"/>
              </m:r>
            </m:sup>
          </m:sSup>
        </m:oMath>
      </m:oMathPara>
    </w:p>
    <w:p w14:paraId="3BA6BF48" w14:textId="77777777" w:rsidR="004E2C13" w:rsidRDefault="004E2C13" w:rsidP="004E2C13">
      <m:oMathPara>
        <m:oMath>
          <m:r>
            <w:rPr>
              <w:rFonts w:ascii="Cambria Math" w:hAnsi="Cambria Math"/>
            </w:rPr>
            <m:t>a=675*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3</m:t>
              </m:r>
            </m:sup>
          </m:sSup>
          <m:r>
            <w:rPr>
              <w:rFonts w:ascii="Cambria Math" w:hAnsi="Cambria Math"/>
            </w:rPr>
            <m:t xml:space="preserve">-771*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+1792*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 xml:space="preserve"> I+0.492 </m:t>
          </m:r>
        </m:oMath>
      </m:oMathPara>
    </w:p>
    <w:p w14:paraId="0704F7A4" w14:textId="62AACFDA" w:rsidR="004E2C13" w:rsidRDefault="004E2C13" w:rsidP="000250F4">
      <w:r>
        <w:t xml:space="preserve">where </w:t>
      </w:r>
      <m:oMath>
        <m:sSup>
          <m:sSupPr>
            <m:ctrlPr>
              <w:rPr>
                <w:rFonts w:ascii="Cambria Math" w:hAnsi="Cambria Math"/>
                <w:i/>
              </w:rPr>
            </m:ctrlPr>
          </m:sSupPr>
          <m:e>
            <m:r>
              <w:rPr>
                <w:rFonts w:ascii="Cambria Math" w:hAnsi="Cambria Math"/>
              </w:rPr>
              <m:t>PET</m:t>
            </m:r>
          </m:e>
          <m:sup>
            <m:r>
              <w:rPr>
                <w:rFonts w:ascii="Cambria Math" w:hAnsi="Cambria Math"/>
              </w:rPr>
              <m:t>*</m:t>
            </m:r>
          </m:sup>
        </m:sSup>
      </m:oMath>
      <w:r>
        <w:t xml:space="preserve"> is a monthly </w:t>
      </w:r>
      <w:r w:rsidRPr="00926EDE">
        <w:t xml:space="preserve">normative potential evapotranspiration (mm </w:t>
      </w:r>
      <m:oMath>
        <m:sSup>
          <m:sSupPr>
            <m:ctrlPr>
              <w:rPr>
                <w:rFonts w:ascii="Cambria Math" w:hAnsi="Cambria Math"/>
                <w:i/>
              </w:rPr>
            </m:ctrlPr>
          </m:sSupPr>
          <m:e>
            <m:r>
              <w:rPr>
                <w:rFonts w:ascii="Cambria Math" w:hAnsi="Cambria Math"/>
              </w:rPr>
              <m:t>month</m:t>
            </m:r>
          </m:e>
          <m:sup>
            <m:r>
              <w:rPr>
                <w:rFonts w:ascii="Cambria Math" w:hAnsi="Cambria Math"/>
              </w:rPr>
              <m:t>-1</m:t>
            </m:r>
          </m:sup>
        </m:sSup>
      </m:oMath>
      <w:r w:rsidRPr="00926EDE">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mean</m:t>
            </m:r>
          </m:sub>
        </m:sSub>
      </m:oMath>
      <w:r>
        <w:t xml:space="preserve"> is</w:t>
      </w:r>
      <w:r w:rsidRPr="00C52E29">
        <w:t xml:space="preserve"> the monthly average temperature (</w:t>
      </w:r>
      <m:oMath>
        <m:r>
          <w:rPr>
            <w:rFonts w:ascii="Cambria Math" w:hAnsi="Cambria Math"/>
          </w:rPr>
          <m:t>℃</m:t>
        </m:r>
      </m:oMath>
      <w:r w:rsidRPr="00C52E29">
        <w:t>)</w:t>
      </w:r>
      <w:r>
        <w:t xml:space="preserve">; </w:t>
      </w:r>
      <m:oMath>
        <m:r>
          <w:rPr>
            <w:rFonts w:ascii="Cambria Math" w:hAnsi="Cambria Math"/>
          </w:rPr>
          <m:t>I</m:t>
        </m:r>
      </m:oMath>
      <w:r>
        <w:t xml:space="preserve"> is an</w:t>
      </w:r>
      <w:r w:rsidRPr="00F936E5">
        <w:t xml:space="preserve"> annual heat index</w:t>
      </w:r>
      <w:r>
        <w:t xml:space="preserve">; </w:t>
      </w:r>
      <m:oMath>
        <m:r>
          <w:rPr>
            <w:rFonts w:ascii="Cambria Math" w:hAnsi="Cambria Math"/>
          </w:rPr>
          <m:t>i</m:t>
        </m:r>
      </m:oMath>
      <w:r w:rsidRPr="00F936E5">
        <w:t xml:space="preserve"> </w:t>
      </w:r>
      <w:r>
        <w:t xml:space="preserve">is a </w:t>
      </w:r>
      <w:r w:rsidRPr="00F936E5">
        <w:t>monthly heat index</w:t>
      </w:r>
      <w:r>
        <w:t>;</w:t>
      </w:r>
      <w:r w:rsidRPr="00F936E5">
        <w:t xml:space="preserve"> </w:t>
      </w:r>
      <m:oMath>
        <m:r>
          <w:rPr>
            <w:rFonts w:ascii="Cambria Math" w:hAnsi="Cambria Math"/>
          </w:rPr>
          <m:t>a</m:t>
        </m:r>
      </m:oMath>
      <w:r w:rsidRPr="00F936E5">
        <w:t xml:space="preserve"> </w:t>
      </w:r>
      <w:r>
        <w:t xml:space="preserve">is a </w:t>
      </w:r>
      <w:r w:rsidRPr="00F936E5">
        <w:t>constant.</w:t>
      </w:r>
      <w:r>
        <w:t xml:space="preserve"> </w:t>
      </w:r>
      <w:r w:rsidR="00EE780E" w:rsidRPr="00EE780E">
        <w:t>To assess water balance, precipitation data is integrated with PET to calculate the water surplus or deficit for each month:</w:t>
      </w:r>
    </w:p>
    <w:p w14:paraId="649CF0D2" w14:textId="77777777" w:rsidR="004E2C13" w:rsidRPr="00DF6542" w:rsidRDefault="00000000" w:rsidP="004E2C13">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PET</m:t>
              </m:r>
            </m:e>
            <m:sub>
              <m:r>
                <w:rPr>
                  <w:rFonts w:ascii="Cambria Math" w:hAnsi="Cambria Math"/>
                </w:rPr>
                <m:t>i</m:t>
              </m:r>
            </m:sub>
          </m:sSub>
        </m:oMath>
      </m:oMathPara>
    </w:p>
    <w:p w14:paraId="1862B4C5" w14:textId="77777777" w:rsidR="001A213A" w:rsidRDefault="004E2C13" w:rsidP="004E2C13">
      <w:r>
        <w:lastRenderedPageBreak/>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a monthly precipitation level (</w:t>
      </w:r>
      <w:r w:rsidRPr="00932003">
        <w:t xml:space="preserve">mm </w:t>
      </w:r>
      <m:oMath>
        <m:sSup>
          <m:sSupPr>
            <m:ctrlPr>
              <w:rPr>
                <w:rFonts w:ascii="Cambria Math" w:hAnsi="Cambria Math"/>
                <w:i/>
              </w:rPr>
            </m:ctrlPr>
          </m:sSupPr>
          <m:e>
            <m:r>
              <w:rPr>
                <w:rFonts w:ascii="Cambria Math" w:hAnsi="Cambria Math"/>
              </w:rPr>
              <m:t>month</m:t>
            </m:r>
          </m:e>
          <m:sup>
            <m:r>
              <w:rPr>
                <w:rFonts w:ascii="Cambria Math" w:hAnsi="Cambria Math"/>
              </w:rPr>
              <m:t>-1</m:t>
            </m:r>
          </m:sup>
        </m:sSup>
      </m:oMath>
      <w:r w:rsidRPr="00926EDE">
        <w:t>)</w:t>
      </w:r>
      <w:r>
        <w:t xml:space="preserve">. </w:t>
      </w:r>
    </w:p>
    <w:p w14:paraId="3A598125" w14:textId="35854A52" w:rsidR="000C0026" w:rsidRDefault="00284374" w:rsidP="000C0026">
      <w:pPr>
        <w:ind w:firstLine="720"/>
      </w:pPr>
      <w:r w:rsidRPr="00284374">
        <w:t>Temperature plays a central role in both drought dynamics and crop growth conditions. While precipitation regulates water supply, temperature influences plant development through heat stress and thermal accumulation</w:t>
      </w:r>
      <w:r w:rsidR="00A3344F">
        <w:t xml:space="preserve"> </w:t>
      </w:r>
      <w:r w:rsidR="00CF5956" w:rsidRPr="00CF5956">
        <w:t>(Prasad, Staggenborg, and Ristic 2008)</w:t>
      </w:r>
      <w:r w:rsidRPr="00284374">
        <w:t>.</w:t>
      </w:r>
      <w:r w:rsidR="000C0026">
        <w:t xml:space="preserve"> </w:t>
      </w:r>
      <w:r w:rsidR="000C0026" w:rsidRPr="000C0026">
        <w:t>To quantify these effects, we use Growing Degree Days (GDD) and Extreme Degree Days (EDD), widely recognized metrics for assessing thermal impacts on crops. GDD captures the accumulation of thermal time (DTT) above a base temperature, reflecting growth potential</w:t>
      </w:r>
      <w:r w:rsidR="00415306">
        <w:t xml:space="preserve"> (</w:t>
      </w:r>
      <w:r w:rsidR="00415306" w:rsidRPr="000C0026">
        <w:t>Zhou and Wang 2018</w:t>
      </w:r>
      <w:r w:rsidR="00415306">
        <w:t>)</w:t>
      </w:r>
      <w:r w:rsidR="000C0026" w:rsidRPr="000C0026">
        <w:t>, while EDD accounts for periods of extreme heat that may inhibit crop development</w:t>
      </w:r>
      <w:r w:rsidR="00113D8D">
        <w:t xml:space="preserve"> </w:t>
      </w:r>
      <w:r w:rsidR="00ED24DB">
        <w:t>(</w:t>
      </w:r>
      <w:r w:rsidR="00941721" w:rsidRPr="00941721">
        <w:t>Huang, Sassenrath, and Lin 2023</w:t>
      </w:r>
      <w:r w:rsidR="00ED24DB">
        <w:t xml:space="preserve">). </w:t>
      </w:r>
      <w:r w:rsidR="000C0026" w:rsidRPr="000C0026">
        <w:t>Following Zhou and Wang (2018), these metrics are computed as:</w:t>
      </w:r>
    </w:p>
    <w:p w14:paraId="1497FF35" w14:textId="4640ADD4" w:rsidR="004E2C13" w:rsidRPr="002263C7" w:rsidRDefault="004E2C13" w:rsidP="004E2C13">
      <m:oMathPara>
        <m:oMath>
          <m:r>
            <w:rPr>
              <w:rFonts w:ascii="Cambria Math" w:hAnsi="Cambria Math"/>
            </w:rPr>
            <m:t xml:space="preserve">DTT=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sSub>
                    <m:sSubPr>
                      <m:ctrlPr>
                        <w:rPr>
                          <w:rFonts w:ascii="Cambria Math" w:hAnsi="Cambria Math"/>
                          <w:i/>
                        </w:rPr>
                      </m:ctrlPr>
                    </m:sSubPr>
                    <m:e>
                      <m:r>
                        <w:rPr>
                          <w:rFonts w:ascii="Cambria Math" w:hAnsi="Cambria Math"/>
                        </w:rPr>
                        <m:t xml:space="preserve">                        T</m:t>
                      </m:r>
                    </m:e>
                    <m:sub>
                      <m:r>
                        <w:rPr>
                          <w:rFonts w:ascii="Cambria Math" w:hAnsi="Cambria Math"/>
                        </w:rPr>
                        <m:t>avg</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b</m:t>
                      </m:r>
                    </m:sub>
                  </m:sSub>
                </m:e>
                <m:e>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b</m:t>
                      </m:r>
                    </m:sub>
                  </m:sSub>
                  <m:sSub>
                    <m:sSubPr>
                      <m:ctrlPr>
                        <w:rPr>
                          <w:rFonts w:ascii="Cambria Math" w:hAnsi="Cambria Math"/>
                          <w:i/>
                        </w:rPr>
                      </m:ctrlPr>
                    </m:sSubPr>
                    <m:e>
                      <m:r>
                        <w:rPr>
                          <w:rFonts w:ascii="Cambria Math" w:hAnsi="Cambria Math"/>
                        </w:rPr>
                        <m:t xml:space="preserve">           T</m:t>
                      </m:r>
                    </m:e>
                    <m:sub>
                      <m:r>
                        <w:rPr>
                          <w:rFonts w:ascii="Cambria Math" w:hAnsi="Cambria Math"/>
                        </w:rPr>
                        <m:t>b</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&lt;</m:t>
                  </m:r>
                  <m:sSub>
                    <m:sSubPr>
                      <m:ctrlPr>
                        <w:rPr>
                          <w:rFonts w:ascii="Cambria Math" w:hAnsi="Cambria Math"/>
                          <w:i/>
                        </w:rPr>
                      </m:ctrlPr>
                    </m:sSubPr>
                    <m:e>
                      <m:r>
                        <w:rPr>
                          <w:rFonts w:ascii="Cambria Math" w:hAnsi="Cambria Math"/>
                        </w:rPr>
                        <m:t xml:space="preserve"> T</m:t>
                      </m:r>
                    </m:e>
                    <m:sub>
                      <m:r>
                        <w:rPr>
                          <w:rFonts w:ascii="Cambria Math" w:hAnsi="Cambria Math"/>
                        </w:rPr>
                        <m:t>u</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 xml:space="preserve">b              </m:t>
                      </m:r>
                    </m:sub>
                  </m:sSub>
                  <m:sSub>
                    <m:sSubPr>
                      <m:ctrlPr>
                        <w:rPr>
                          <w:rFonts w:ascii="Cambria Math" w:hAnsi="Cambria Math"/>
                          <w:i/>
                        </w:rPr>
                      </m:ctrlPr>
                    </m:sSubPr>
                    <m:e>
                      <m:r>
                        <w:rPr>
                          <w:rFonts w:ascii="Cambria Math" w:hAnsi="Cambria Math"/>
                        </w:rPr>
                        <m:t xml:space="preserve">          T</m:t>
                      </m:r>
                    </m:e>
                    <m:sub>
                      <m:r>
                        <w:rPr>
                          <w:rFonts w:ascii="Cambria Math" w:hAnsi="Cambria Math"/>
                        </w:rPr>
                        <m:t>u</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avg</m:t>
                      </m:r>
                    </m:sub>
                  </m:sSub>
                </m:e>
              </m:eqArr>
            </m:e>
          </m:d>
        </m:oMath>
      </m:oMathPara>
    </w:p>
    <w:p w14:paraId="2626513F" w14:textId="77777777" w:rsidR="004E2C13" w:rsidRPr="005C3934" w:rsidRDefault="004E2C13" w:rsidP="004E2C13">
      <m:oMathPara>
        <m:oMath>
          <m:r>
            <w:rPr>
              <w:rFonts w:ascii="Cambria Math" w:hAnsi="Cambria Math"/>
            </w:rPr>
            <m:t>GDD=</m:t>
          </m:r>
          <m:nary>
            <m:naryPr>
              <m:chr m:val="∑"/>
              <m:limLoc m:val="undOvr"/>
              <m:subHide m:val="1"/>
              <m:supHide m:val="1"/>
              <m:ctrlPr>
                <w:rPr>
                  <w:rFonts w:ascii="Cambria Math" w:hAnsi="Cambria Math"/>
                  <w:i/>
                </w:rPr>
              </m:ctrlPr>
            </m:naryPr>
            <m:sub/>
            <m:sup/>
            <m:e>
              <m:r>
                <w:rPr>
                  <w:rFonts w:ascii="Cambria Math" w:hAnsi="Cambria Math"/>
                </w:rPr>
                <m:t>DTT</m:t>
              </m:r>
            </m:e>
          </m:nary>
        </m:oMath>
      </m:oMathPara>
    </w:p>
    <w:p w14:paraId="2707B22F" w14:textId="77777777" w:rsidR="004E2C13" w:rsidRPr="00644A00" w:rsidRDefault="00000000" w:rsidP="004E2C13">
      <m:oMathPara>
        <m:oMath>
          <m:sSub>
            <m:sSubPr>
              <m:ctrlPr>
                <w:rPr>
                  <w:rFonts w:ascii="Cambria Math" w:hAnsi="Cambria Math"/>
                  <w:i/>
                </w:rPr>
              </m:ctrlPr>
            </m:sSubPr>
            <m:e>
              <m:r>
                <w:rPr>
                  <w:rFonts w:ascii="Cambria Math" w:hAnsi="Cambria Math"/>
                </w:rPr>
                <m:t>EDD</m:t>
              </m:r>
            </m:e>
            <m:sub>
              <m:r>
                <w:rPr>
                  <w:rFonts w:ascii="Cambria Math" w:hAnsi="Cambria Math"/>
                </w:rPr>
                <m:t>d</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&gt;</m:t>
                  </m:r>
                  <m:sSub>
                    <m:sSubPr>
                      <m:ctrlPr>
                        <w:rPr>
                          <w:rFonts w:ascii="Cambria Math" w:hAnsi="Cambria Math"/>
                          <w:i/>
                        </w:rPr>
                      </m:ctrlPr>
                    </m:sSubPr>
                    <m:e>
                      <m:r>
                        <w:rPr>
                          <w:rFonts w:ascii="Cambria Math" w:hAnsi="Cambria Math"/>
                        </w:rPr>
                        <m:t>T</m:t>
                      </m:r>
                    </m:e>
                    <m:sub>
                      <m:r>
                        <w:rPr>
                          <w:rFonts w:ascii="Cambria Math" w:hAnsi="Cambria Math"/>
                        </w:rPr>
                        <m:t>u</m:t>
                      </m:r>
                    </m:sub>
                  </m:sSub>
                </m:e>
                <m:e>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max,d</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sub>
                  </m:sSub>
                </m:e>
              </m:eqArr>
            </m:e>
          </m:d>
          <m:r>
            <w:rPr>
              <w:rFonts w:ascii="Cambria Math" w:hAnsi="Cambria Math"/>
            </w:rPr>
            <m:t xml:space="preserve"> </m:t>
          </m:r>
        </m:oMath>
      </m:oMathPara>
    </w:p>
    <w:p w14:paraId="2B1D72AF" w14:textId="2ADC45B4" w:rsidR="00E822B6" w:rsidRDefault="004E2C13" w:rsidP="004E2C13">
      <w:r>
        <w:t xml:space="preserve">where </w:t>
      </w:r>
      <m:oMath>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m:t>
                </m:r>
              </m:sub>
            </m:sSub>
          </m:num>
          <m:den>
            <m:r>
              <w:rPr>
                <w:rFonts w:ascii="Cambria Math" w:hAnsi="Cambria Math"/>
              </w:rPr>
              <m:t>2</m:t>
            </m:r>
          </m:den>
        </m:f>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is base temperature and </w:t>
      </w:r>
      <m:oMath>
        <m:sSub>
          <m:sSubPr>
            <m:ctrlPr>
              <w:rPr>
                <w:rFonts w:ascii="Cambria Math" w:hAnsi="Cambria Math"/>
                <w:i/>
              </w:rPr>
            </m:ctrlPr>
          </m:sSubPr>
          <m:e>
            <m:r>
              <w:rPr>
                <w:rFonts w:ascii="Cambria Math" w:hAnsi="Cambria Math"/>
              </w:rPr>
              <m:t xml:space="preserve"> T</m:t>
            </m:r>
          </m:e>
          <m:sub>
            <m:r>
              <w:rPr>
                <w:rFonts w:ascii="Cambria Math" w:hAnsi="Cambria Math"/>
              </w:rPr>
              <m:t>u</m:t>
            </m:r>
          </m:sub>
        </m:sSub>
      </m:oMath>
      <w:r>
        <w:t xml:space="preserve"> is upper threshold temperature. </w:t>
      </w:r>
      <w:r w:rsidR="006F68FD" w:rsidRPr="006F68FD">
        <w:t>Critical temperature thresholds of 10°C and 31°C are used for this analysis (Schlenker and Roberts 2009)</w:t>
      </w:r>
      <w:r w:rsidR="00D61DEB">
        <w:t>.</w:t>
      </w:r>
      <w:r w:rsidR="003F655A">
        <w:t xml:space="preserve"> </w:t>
      </w:r>
    </w:p>
    <w:p w14:paraId="19191D49" w14:textId="201A1EBE" w:rsidR="000F5325" w:rsidRDefault="00E822B6" w:rsidP="00E822B6">
      <w:pPr>
        <w:ind w:firstLine="720"/>
      </w:pPr>
      <w:r w:rsidRPr="00E822B6">
        <w:t>These metrics enable a comprehensive assessment of both the beneficial and adverse effects of temperature on agricultural systems, providing valuable insights into the interaction between climate variability and ecosystem productivity. To support this analysis, we retrieve high-resolution</w:t>
      </w:r>
      <w:r w:rsidR="00E96798">
        <w:t xml:space="preserve"> </w:t>
      </w:r>
      <w:r w:rsidRPr="00E822B6">
        <w:t>data from the Parameter-elevation Regressions on Independent Slopes Model (PRISM) for the period of interest. PRISM data includes precipitation, minimum, maximum, and mean temperatures, along with other weather-related variables across the United States (PRISM Climate Group, Oregon State University 2024).</w:t>
      </w:r>
    </w:p>
    <w:p w14:paraId="02F38402" w14:textId="77777777" w:rsidR="004E2C13" w:rsidRDefault="004E2C13" w:rsidP="004E2C13">
      <w:pPr>
        <w:pStyle w:val="Heading2"/>
      </w:pPr>
      <w:r>
        <w:t xml:space="preserve">Hay stocks </w:t>
      </w:r>
    </w:p>
    <w:p w14:paraId="60650A7D" w14:textId="3F23EE12" w:rsidR="005A6FC0" w:rsidRDefault="00852A44" w:rsidP="005A6FC0">
      <w:r w:rsidRPr="00852A44">
        <w:t>Hay stocks serve as a</w:t>
      </w:r>
      <w:r w:rsidR="006E3900">
        <w:t xml:space="preserve">nother </w:t>
      </w:r>
      <w:r w:rsidRPr="00852A44">
        <w:t xml:space="preserve">key explanatory variable in this analysis, representing a critical supplemental feed source when forage availability is limited by adverse weather conditions. During droughts, reduced pasture growth restricts natural forage for grazing, making hay an </w:t>
      </w:r>
      <w:r w:rsidRPr="00852A44">
        <w:lastRenderedPageBreak/>
        <w:t>essential alternative. Incorporating hay stocks into this study allows us to assess their role in mitigating the effects of drought on forage availability and stocking rates. This approach provides a comprehensive perspective on the interaction between drought, supplemental feeding, and grazing management. To ensure robustness, we utilize annual nationwide hay stocks data from USDA NASS (2024) for the period of interest, enabling a detailed evaluation of supplemental feeding during forage scarcity.</w:t>
      </w:r>
    </w:p>
    <w:p w14:paraId="7251C21D" w14:textId="77777777" w:rsidR="004E2C13" w:rsidRDefault="004E2C13" w:rsidP="004E2C13">
      <w:pPr>
        <w:pStyle w:val="Heading2"/>
      </w:pPr>
      <w:r>
        <w:t xml:space="preserve">Summary statistics </w:t>
      </w:r>
    </w:p>
    <w:p w14:paraId="4590CE04" w14:textId="131A454F" w:rsidR="004E2C13" w:rsidRDefault="00A62ACF" w:rsidP="004E2C13">
      <w:r w:rsidRPr="00A62ACF">
        <w:t xml:space="preserve">The summary statistics provide a detailed breakdown of stocking rates across U.S. </w:t>
      </w:r>
      <w:r w:rsidR="004E2C13" w:rsidRPr="00731D6D">
        <w:rPr>
          <w:bCs/>
          <w:color w:val="000000"/>
          <w:shd w:val="clear" w:color="auto" w:fill="FFFFFF"/>
        </w:rPr>
        <w:t>region</w:t>
      </w:r>
      <w:r>
        <w:rPr>
          <w:bCs/>
          <w:color w:val="000000"/>
          <w:shd w:val="clear" w:color="auto" w:fill="FFFFFF"/>
        </w:rPr>
        <w:t>s</w:t>
      </w:r>
      <w:r w:rsidR="004E2C13">
        <w:rPr>
          <w:rStyle w:val="FootnoteReference"/>
          <w:bCs/>
          <w:color w:val="000000"/>
          <w:shd w:val="clear" w:color="auto" w:fill="FFFFFF"/>
        </w:rPr>
        <w:footnoteReference w:id="3"/>
      </w:r>
      <w:r>
        <w:rPr>
          <w:bCs/>
          <w:color w:val="000000"/>
          <w:shd w:val="clear" w:color="auto" w:fill="FFFFFF"/>
        </w:rPr>
        <w:t xml:space="preserve"> and </w:t>
      </w:r>
      <w:r w:rsidRPr="00A62ACF">
        <w:t xml:space="preserve">decades, highlighting both national and regional trends. </w:t>
      </w:r>
      <w:r w:rsidR="002C00F0" w:rsidRPr="002C00F0">
        <w:t>The Northern Plains experienced a significant decline, with stocking rates dropping from 0.80 AUMs per acre in the 1980s to 0.43 in the 2020s. Similarly, the Mountain region exhibited consistently low rates, likely reflecting limited grazing capacity. In contrast, the Lake States demonstrated remarkable growth, increasing from 0.58 AUMs per acre in the 1980s to 1.33 in the 2020s, with a notable 40.27% increase between the 2000s and 2010s.</w:t>
      </w:r>
      <w:r w:rsidR="00B7774D">
        <w:t xml:space="preserve"> </w:t>
      </w:r>
      <w:r w:rsidR="0016392B" w:rsidRPr="0016392B">
        <w:t>While regions such as the Pacific and Southern Plains maintained relatively stable but low stocking rates over time, other regions displayed greater sensitivity to climatic and economic factors, highlighting differences in resilience and management practices. These results suggest that, despite a gradual national recovery in stocking rates, regional disparities persist, emphasizing the complex interplay between drought conditions, forage availability, and grazing capacity. Understanding these variations is crucial for assessing the relationship between climate stress and stocking rate adjustments.</w:t>
      </w:r>
    </w:p>
    <w:p w14:paraId="5F3C567A" w14:textId="77777777" w:rsidR="004E2C13" w:rsidRPr="00892CE9" w:rsidRDefault="004E2C13" w:rsidP="004E2C13">
      <w:pPr>
        <w:pStyle w:val="NoSpacing"/>
        <w:rPr>
          <w:b/>
          <w:bCs/>
          <w:sz w:val="22"/>
          <w:szCs w:val="22"/>
        </w:rPr>
      </w:pPr>
      <w:r w:rsidRPr="00892CE9">
        <w:rPr>
          <w:b/>
          <w:bCs/>
          <w:sz w:val="22"/>
          <w:szCs w:val="22"/>
        </w:rPr>
        <w:t xml:space="preserve">Table </w:t>
      </w:r>
      <w:r w:rsidRPr="00892CE9">
        <w:rPr>
          <w:b/>
          <w:bCs/>
          <w:sz w:val="22"/>
          <w:szCs w:val="22"/>
        </w:rPr>
        <w:fldChar w:fldCharType="begin"/>
      </w:r>
      <w:r w:rsidRPr="00892CE9">
        <w:rPr>
          <w:b/>
          <w:bCs/>
          <w:sz w:val="22"/>
          <w:szCs w:val="22"/>
        </w:rPr>
        <w:instrText xml:space="preserve"> SEQ Table \* ARABIC </w:instrText>
      </w:r>
      <w:r w:rsidRPr="00892CE9">
        <w:rPr>
          <w:b/>
          <w:bCs/>
          <w:sz w:val="22"/>
          <w:szCs w:val="22"/>
        </w:rPr>
        <w:fldChar w:fldCharType="separate"/>
      </w:r>
      <w:r w:rsidRPr="00892CE9">
        <w:rPr>
          <w:b/>
          <w:bCs/>
          <w:sz w:val="22"/>
          <w:szCs w:val="22"/>
        </w:rPr>
        <w:t>1</w:t>
      </w:r>
      <w:r w:rsidRPr="00892CE9">
        <w:rPr>
          <w:b/>
          <w:bCs/>
          <w:sz w:val="22"/>
          <w:szCs w:val="22"/>
        </w:rPr>
        <w:fldChar w:fldCharType="end"/>
      </w:r>
      <w:r w:rsidRPr="00892CE9">
        <w:rPr>
          <w:b/>
          <w:bCs/>
          <w:sz w:val="22"/>
          <w:szCs w:val="22"/>
        </w:rPr>
        <w:t>. Stocking rate by US geographical region, 1990-2020</w:t>
      </w:r>
      <w:r>
        <w:rPr>
          <w:b/>
          <w:bCs/>
          <w:sz w:val="22"/>
          <w:szCs w:val="22"/>
        </w:rPr>
        <w:t>.</w:t>
      </w:r>
    </w:p>
    <w:tbl>
      <w:tblPr>
        <w:tblStyle w:val="PlainTable2"/>
        <w:tblW w:w="0" w:type="auto"/>
        <w:tblLook w:val="04A0" w:firstRow="1" w:lastRow="0" w:firstColumn="1" w:lastColumn="0" w:noHBand="0" w:noVBand="1"/>
      </w:tblPr>
      <w:tblGrid>
        <w:gridCol w:w="1390"/>
        <w:gridCol w:w="985"/>
        <w:gridCol w:w="983"/>
        <w:gridCol w:w="982"/>
        <w:gridCol w:w="982"/>
        <w:gridCol w:w="1346"/>
        <w:gridCol w:w="1346"/>
        <w:gridCol w:w="1346"/>
      </w:tblGrid>
      <w:tr w:rsidR="004E2C13" w:rsidRPr="006D5584" w14:paraId="7046E30B" w14:textId="77777777" w:rsidTr="004B098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vMerge w:val="restart"/>
            <w:noWrap/>
          </w:tcPr>
          <w:p w14:paraId="28CE7D29" w14:textId="77777777" w:rsidR="004E2C13" w:rsidRPr="006D5584" w:rsidRDefault="004E2C13" w:rsidP="004B0988">
            <w:pPr>
              <w:rPr>
                <w:b w:val="0"/>
                <w:bCs w:val="0"/>
                <w:sz w:val="20"/>
                <w:szCs w:val="20"/>
              </w:rPr>
            </w:pPr>
          </w:p>
          <w:p w14:paraId="14A44485" w14:textId="77777777" w:rsidR="004E2C13" w:rsidRPr="00C11F83" w:rsidRDefault="004E2C13" w:rsidP="004B0988">
            <w:pPr>
              <w:rPr>
                <w:b w:val="0"/>
                <w:bCs w:val="0"/>
                <w:sz w:val="20"/>
                <w:szCs w:val="20"/>
              </w:rPr>
            </w:pPr>
            <w:r w:rsidRPr="00C11F83">
              <w:rPr>
                <w:b w:val="0"/>
                <w:bCs w:val="0"/>
                <w:sz w:val="20"/>
                <w:szCs w:val="20"/>
              </w:rPr>
              <w:t>Region</w:t>
            </w:r>
          </w:p>
        </w:tc>
        <w:tc>
          <w:tcPr>
            <w:tcW w:w="3932" w:type="dxa"/>
            <w:gridSpan w:val="4"/>
            <w:noWrap/>
          </w:tcPr>
          <w:p w14:paraId="7CE565C0" w14:textId="77777777" w:rsidR="004E2C13" w:rsidRPr="006D5584" w:rsidRDefault="004E2C13" w:rsidP="004B0988">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D5584">
              <w:rPr>
                <w:b w:val="0"/>
                <w:bCs w:val="0"/>
                <w:sz w:val="20"/>
                <w:szCs w:val="20"/>
              </w:rPr>
              <w:t>Year</w:t>
            </w:r>
          </w:p>
        </w:tc>
        <w:tc>
          <w:tcPr>
            <w:tcW w:w="4038" w:type="dxa"/>
            <w:gridSpan w:val="3"/>
            <w:noWrap/>
          </w:tcPr>
          <w:p w14:paraId="077D62E0" w14:textId="62125023" w:rsidR="004E2C13" w:rsidRPr="006D5584" w:rsidRDefault="004E2C13" w:rsidP="004B0988">
            <w:pPr>
              <w:jc w:val="center"/>
              <w:cnfStyle w:val="100000000000" w:firstRow="1" w:lastRow="0" w:firstColumn="0" w:lastColumn="0" w:oddVBand="0" w:evenVBand="0" w:oddHBand="0" w:evenHBand="0" w:firstRowFirstColumn="0" w:firstRowLastColumn="0" w:lastRowFirstColumn="0" w:lastRowLastColumn="0"/>
              <w:rPr>
                <w:b w:val="0"/>
                <w:bCs w:val="0"/>
                <w:sz w:val="20"/>
                <w:szCs w:val="20"/>
              </w:rPr>
            </w:pPr>
            <w:r w:rsidRPr="006D5584">
              <w:rPr>
                <w:b w:val="0"/>
                <w:bCs w:val="0"/>
                <w:color w:val="000000"/>
                <w:sz w:val="20"/>
                <w:szCs w:val="20"/>
              </w:rPr>
              <w:t>Percent Change</w:t>
            </w:r>
            <w:r w:rsidR="004B0A21">
              <w:rPr>
                <w:b w:val="0"/>
                <w:bCs w:val="0"/>
                <w:color w:val="000000"/>
                <w:sz w:val="20"/>
                <w:szCs w:val="20"/>
              </w:rPr>
              <w:t xml:space="preserve"> (%)</w:t>
            </w:r>
          </w:p>
        </w:tc>
      </w:tr>
      <w:tr w:rsidR="004E2C13" w:rsidRPr="006D5584" w14:paraId="316FC80B"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vMerge/>
            <w:noWrap/>
            <w:hideMark/>
          </w:tcPr>
          <w:p w14:paraId="6A811B9F" w14:textId="77777777" w:rsidR="004E2C13" w:rsidRPr="006D5584" w:rsidRDefault="004E2C13" w:rsidP="004B0988">
            <w:pPr>
              <w:rPr>
                <w:sz w:val="20"/>
                <w:szCs w:val="20"/>
              </w:rPr>
            </w:pPr>
          </w:p>
        </w:tc>
        <w:tc>
          <w:tcPr>
            <w:tcW w:w="985" w:type="dxa"/>
            <w:noWrap/>
            <w:hideMark/>
          </w:tcPr>
          <w:p w14:paraId="760DA1E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1980-1989</w:t>
            </w:r>
          </w:p>
        </w:tc>
        <w:tc>
          <w:tcPr>
            <w:tcW w:w="983" w:type="dxa"/>
            <w:noWrap/>
            <w:hideMark/>
          </w:tcPr>
          <w:p w14:paraId="04097138"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1990-1999</w:t>
            </w:r>
          </w:p>
        </w:tc>
        <w:tc>
          <w:tcPr>
            <w:tcW w:w="982" w:type="dxa"/>
            <w:noWrap/>
            <w:hideMark/>
          </w:tcPr>
          <w:p w14:paraId="7949115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2000-2009</w:t>
            </w:r>
          </w:p>
        </w:tc>
        <w:tc>
          <w:tcPr>
            <w:tcW w:w="982" w:type="dxa"/>
            <w:noWrap/>
            <w:hideMark/>
          </w:tcPr>
          <w:p w14:paraId="032AFF97"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2010-2019</w:t>
            </w:r>
          </w:p>
        </w:tc>
        <w:tc>
          <w:tcPr>
            <w:tcW w:w="1346" w:type="dxa"/>
            <w:noWrap/>
            <w:hideMark/>
          </w:tcPr>
          <w:p w14:paraId="239BF430"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1990-1980</w:t>
            </w:r>
          </w:p>
        </w:tc>
        <w:tc>
          <w:tcPr>
            <w:tcW w:w="1346" w:type="dxa"/>
            <w:noWrap/>
            <w:hideMark/>
          </w:tcPr>
          <w:p w14:paraId="30F38EF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2000-1990</w:t>
            </w:r>
          </w:p>
        </w:tc>
        <w:tc>
          <w:tcPr>
            <w:tcW w:w="1346" w:type="dxa"/>
            <w:noWrap/>
            <w:hideMark/>
          </w:tcPr>
          <w:p w14:paraId="0AC1373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2010-2000</w:t>
            </w:r>
          </w:p>
        </w:tc>
      </w:tr>
      <w:tr w:rsidR="004E2C13" w:rsidRPr="006D5584" w14:paraId="40AB12C1"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85A1508" w14:textId="77777777" w:rsidR="004E2C13" w:rsidRPr="00573EBD" w:rsidRDefault="004E2C13" w:rsidP="004B0988">
            <w:pPr>
              <w:rPr>
                <w:b w:val="0"/>
                <w:bCs w:val="0"/>
                <w:sz w:val="20"/>
                <w:szCs w:val="20"/>
              </w:rPr>
            </w:pPr>
            <w:r w:rsidRPr="00573EBD">
              <w:rPr>
                <w:b w:val="0"/>
                <w:bCs w:val="0"/>
                <w:sz w:val="20"/>
                <w:szCs w:val="20"/>
              </w:rPr>
              <w:t>Appalachia</w:t>
            </w:r>
          </w:p>
        </w:tc>
        <w:tc>
          <w:tcPr>
            <w:tcW w:w="985" w:type="dxa"/>
            <w:noWrap/>
            <w:hideMark/>
          </w:tcPr>
          <w:p w14:paraId="22E58EE0"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w:t>
            </w:r>
          </w:p>
        </w:tc>
        <w:tc>
          <w:tcPr>
            <w:tcW w:w="983" w:type="dxa"/>
            <w:noWrap/>
            <w:hideMark/>
          </w:tcPr>
          <w:p w14:paraId="5BA6FF5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1.4</w:t>
            </w:r>
          </w:p>
        </w:tc>
        <w:tc>
          <w:tcPr>
            <w:tcW w:w="982" w:type="dxa"/>
            <w:noWrap/>
            <w:hideMark/>
          </w:tcPr>
          <w:p w14:paraId="309E8FE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1.37</w:t>
            </w:r>
          </w:p>
        </w:tc>
        <w:tc>
          <w:tcPr>
            <w:tcW w:w="982" w:type="dxa"/>
            <w:noWrap/>
            <w:hideMark/>
          </w:tcPr>
          <w:p w14:paraId="4E02C4C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1.43</w:t>
            </w:r>
          </w:p>
        </w:tc>
        <w:tc>
          <w:tcPr>
            <w:tcW w:w="1346" w:type="dxa"/>
            <w:noWrap/>
            <w:hideMark/>
          </w:tcPr>
          <w:p w14:paraId="5B44649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27.43</w:t>
            </w:r>
          </w:p>
        </w:tc>
        <w:tc>
          <w:tcPr>
            <w:tcW w:w="1346" w:type="dxa"/>
            <w:noWrap/>
            <w:hideMark/>
          </w:tcPr>
          <w:p w14:paraId="69D4655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-2.01</w:t>
            </w:r>
          </w:p>
        </w:tc>
        <w:tc>
          <w:tcPr>
            <w:tcW w:w="1346" w:type="dxa"/>
            <w:noWrap/>
            <w:hideMark/>
          </w:tcPr>
          <w:p w14:paraId="1441F04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3.83</w:t>
            </w:r>
          </w:p>
        </w:tc>
      </w:tr>
      <w:tr w:rsidR="004E2C13" w:rsidRPr="006D5584" w14:paraId="6ACF31F9"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7DFB5CD6" w14:textId="77777777" w:rsidR="004E2C13" w:rsidRPr="00573EBD" w:rsidRDefault="004E2C13" w:rsidP="004B0988">
            <w:pPr>
              <w:rPr>
                <w:b w:val="0"/>
                <w:bCs w:val="0"/>
                <w:sz w:val="20"/>
                <w:szCs w:val="20"/>
              </w:rPr>
            </w:pPr>
            <w:r w:rsidRPr="00573EBD">
              <w:rPr>
                <w:b w:val="0"/>
                <w:bCs w:val="0"/>
                <w:sz w:val="20"/>
                <w:szCs w:val="20"/>
              </w:rPr>
              <w:t>Corn Belt</w:t>
            </w:r>
          </w:p>
        </w:tc>
        <w:tc>
          <w:tcPr>
            <w:tcW w:w="985" w:type="dxa"/>
            <w:noWrap/>
            <w:hideMark/>
          </w:tcPr>
          <w:p w14:paraId="2F257F12"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w:t>
            </w:r>
          </w:p>
        </w:tc>
        <w:tc>
          <w:tcPr>
            <w:tcW w:w="983" w:type="dxa"/>
            <w:noWrap/>
            <w:hideMark/>
          </w:tcPr>
          <w:p w14:paraId="4C889CA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1.18</w:t>
            </w:r>
          </w:p>
        </w:tc>
        <w:tc>
          <w:tcPr>
            <w:tcW w:w="982" w:type="dxa"/>
            <w:noWrap/>
            <w:hideMark/>
          </w:tcPr>
          <w:p w14:paraId="2FEE4E3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1.34</w:t>
            </w:r>
          </w:p>
        </w:tc>
        <w:tc>
          <w:tcPr>
            <w:tcW w:w="982" w:type="dxa"/>
            <w:noWrap/>
            <w:hideMark/>
          </w:tcPr>
          <w:p w14:paraId="643C745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1.53</w:t>
            </w:r>
          </w:p>
        </w:tc>
        <w:tc>
          <w:tcPr>
            <w:tcW w:w="1346" w:type="dxa"/>
            <w:noWrap/>
            <w:hideMark/>
          </w:tcPr>
          <w:p w14:paraId="7E491DCD"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7.69</w:t>
            </w:r>
          </w:p>
        </w:tc>
        <w:tc>
          <w:tcPr>
            <w:tcW w:w="1346" w:type="dxa"/>
            <w:noWrap/>
            <w:hideMark/>
          </w:tcPr>
          <w:p w14:paraId="560931A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13.15</w:t>
            </w:r>
          </w:p>
        </w:tc>
        <w:tc>
          <w:tcPr>
            <w:tcW w:w="1346" w:type="dxa"/>
            <w:noWrap/>
            <w:hideMark/>
          </w:tcPr>
          <w:p w14:paraId="39C2374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14.68</w:t>
            </w:r>
          </w:p>
        </w:tc>
      </w:tr>
      <w:tr w:rsidR="004E2C13" w:rsidRPr="006D5584" w14:paraId="73EBE463"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9BD0A7B" w14:textId="77777777" w:rsidR="004E2C13" w:rsidRPr="00573EBD" w:rsidRDefault="004E2C13" w:rsidP="004B0988">
            <w:pPr>
              <w:rPr>
                <w:b w:val="0"/>
                <w:bCs w:val="0"/>
                <w:sz w:val="20"/>
                <w:szCs w:val="20"/>
              </w:rPr>
            </w:pPr>
            <w:r w:rsidRPr="00573EBD">
              <w:rPr>
                <w:b w:val="0"/>
                <w:bCs w:val="0"/>
                <w:sz w:val="20"/>
                <w:szCs w:val="20"/>
              </w:rPr>
              <w:t>Delta States</w:t>
            </w:r>
          </w:p>
        </w:tc>
        <w:tc>
          <w:tcPr>
            <w:tcW w:w="985" w:type="dxa"/>
            <w:noWrap/>
            <w:hideMark/>
          </w:tcPr>
          <w:p w14:paraId="5447CF3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1.02</w:t>
            </w:r>
          </w:p>
        </w:tc>
        <w:tc>
          <w:tcPr>
            <w:tcW w:w="983" w:type="dxa"/>
            <w:noWrap/>
            <w:hideMark/>
          </w:tcPr>
          <w:p w14:paraId="61E6976D"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1.12</w:t>
            </w:r>
          </w:p>
        </w:tc>
        <w:tc>
          <w:tcPr>
            <w:tcW w:w="982" w:type="dxa"/>
            <w:noWrap/>
            <w:hideMark/>
          </w:tcPr>
          <w:p w14:paraId="664C0DE2"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1.08</w:t>
            </w:r>
          </w:p>
        </w:tc>
        <w:tc>
          <w:tcPr>
            <w:tcW w:w="982" w:type="dxa"/>
            <w:noWrap/>
            <w:hideMark/>
          </w:tcPr>
          <w:p w14:paraId="0EBD766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1.22</w:t>
            </w:r>
          </w:p>
        </w:tc>
        <w:tc>
          <w:tcPr>
            <w:tcW w:w="1346" w:type="dxa"/>
            <w:noWrap/>
            <w:hideMark/>
          </w:tcPr>
          <w:p w14:paraId="157475C9"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9.49</w:t>
            </w:r>
          </w:p>
        </w:tc>
        <w:tc>
          <w:tcPr>
            <w:tcW w:w="1346" w:type="dxa"/>
            <w:noWrap/>
            <w:hideMark/>
          </w:tcPr>
          <w:p w14:paraId="2FD7591E"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-3.22</w:t>
            </w:r>
          </w:p>
        </w:tc>
        <w:tc>
          <w:tcPr>
            <w:tcW w:w="1346" w:type="dxa"/>
            <w:noWrap/>
            <w:hideMark/>
          </w:tcPr>
          <w:p w14:paraId="7382971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13.21</w:t>
            </w:r>
          </w:p>
        </w:tc>
      </w:tr>
      <w:tr w:rsidR="004E2C13" w:rsidRPr="006D5584" w14:paraId="1E7C78CC"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BA5944A" w14:textId="77777777" w:rsidR="004E2C13" w:rsidRPr="00573EBD" w:rsidRDefault="004E2C13" w:rsidP="004B0988">
            <w:pPr>
              <w:rPr>
                <w:b w:val="0"/>
                <w:bCs w:val="0"/>
                <w:sz w:val="20"/>
                <w:szCs w:val="20"/>
              </w:rPr>
            </w:pPr>
            <w:r w:rsidRPr="00573EBD">
              <w:rPr>
                <w:b w:val="0"/>
                <w:bCs w:val="0"/>
                <w:sz w:val="20"/>
                <w:szCs w:val="20"/>
              </w:rPr>
              <w:lastRenderedPageBreak/>
              <w:t>Lake States</w:t>
            </w:r>
          </w:p>
        </w:tc>
        <w:tc>
          <w:tcPr>
            <w:tcW w:w="985" w:type="dxa"/>
            <w:noWrap/>
            <w:hideMark/>
          </w:tcPr>
          <w:p w14:paraId="5A36AB2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0.58</w:t>
            </w:r>
          </w:p>
        </w:tc>
        <w:tc>
          <w:tcPr>
            <w:tcW w:w="983" w:type="dxa"/>
            <w:noWrap/>
            <w:hideMark/>
          </w:tcPr>
          <w:p w14:paraId="7E4FFF6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0.71</w:t>
            </w:r>
          </w:p>
        </w:tc>
        <w:tc>
          <w:tcPr>
            <w:tcW w:w="982" w:type="dxa"/>
            <w:noWrap/>
            <w:hideMark/>
          </w:tcPr>
          <w:p w14:paraId="5E07151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0.95</w:t>
            </w:r>
          </w:p>
        </w:tc>
        <w:tc>
          <w:tcPr>
            <w:tcW w:w="982" w:type="dxa"/>
            <w:noWrap/>
            <w:hideMark/>
          </w:tcPr>
          <w:p w14:paraId="50C2315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1.33</w:t>
            </w:r>
          </w:p>
        </w:tc>
        <w:tc>
          <w:tcPr>
            <w:tcW w:w="1346" w:type="dxa"/>
            <w:noWrap/>
            <w:hideMark/>
          </w:tcPr>
          <w:p w14:paraId="44EB795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23</w:t>
            </w:r>
          </w:p>
        </w:tc>
        <w:tc>
          <w:tcPr>
            <w:tcW w:w="1346" w:type="dxa"/>
            <w:noWrap/>
            <w:hideMark/>
          </w:tcPr>
          <w:p w14:paraId="189C1625"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33.33</w:t>
            </w:r>
          </w:p>
        </w:tc>
        <w:tc>
          <w:tcPr>
            <w:tcW w:w="1346" w:type="dxa"/>
            <w:noWrap/>
            <w:hideMark/>
          </w:tcPr>
          <w:p w14:paraId="370A3AB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40.27</w:t>
            </w:r>
          </w:p>
        </w:tc>
      </w:tr>
      <w:tr w:rsidR="004E2C13" w:rsidRPr="006D5584" w14:paraId="5F60430B"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832E18F" w14:textId="77777777" w:rsidR="004E2C13" w:rsidRPr="00573EBD" w:rsidRDefault="004E2C13" w:rsidP="004B0988">
            <w:pPr>
              <w:rPr>
                <w:b w:val="0"/>
                <w:bCs w:val="0"/>
                <w:sz w:val="20"/>
                <w:szCs w:val="20"/>
              </w:rPr>
            </w:pPr>
            <w:r w:rsidRPr="00573EBD">
              <w:rPr>
                <w:b w:val="0"/>
                <w:bCs w:val="0"/>
                <w:sz w:val="20"/>
                <w:szCs w:val="20"/>
              </w:rPr>
              <w:t>Mountain</w:t>
            </w:r>
          </w:p>
        </w:tc>
        <w:tc>
          <w:tcPr>
            <w:tcW w:w="985" w:type="dxa"/>
            <w:noWrap/>
            <w:hideMark/>
          </w:tcPr>
          <w:p w14:paraId="4303EE4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0.17</w:t>
            </w:r>
          </w:p>
        </w:tc>
        <w:tc>
          <w:tcPr>
            <w:tcW w:w="983" w:type="dxa"/>
            <w:noWrap/>
            <w:hideMark/>
          </w:tcPr>
          <w:p w14:paraId="08DA31D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0.2</w:t>
            </w:r>
          </w:p>
        </w:tc>
        <w:tc>
          <w:tcPr>
            <w:tcW w:w="982" w:type="dxa"/>
            <w:noWrap/>
            <w:hideMark/>
          </w:tcPr>
          <w:p w14:paraId="35B75A4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0.15</w:t>
            </w:r>
          </w:p>
        </w:tc>
        <w:tc>
          <w:tcPr>
            <w:tcW w:w="982" w:type="dxa"/>
            <w:noWrap/>
            <w:hideMark/>
          </w:tcPr>
          <w:p w14:paraId="560F26B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0.16</w:t>
            </w:r>
          </w:p>
        </w:tc>
        <w:tc>
          <w:tcPr>
            <w:tcW w:w="1346" w:type="dxa"/>
            <w:noWrap/>
            <w:hideMark/>
          </w:tcPr>
          <w:p w14:paraId="1E4D1AEA"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12.64</w:t>
            </w:r>
          </w:p>
        </w:tc>
        <w:tc>
          <w:tcPr>
            <w:tcW w:w="1346" w:type="dxa"/>
            <w:noWrap/>
            <w:hideMark/>
          </w:tcPr>
          <w:p w14:paraId="0F0E5415"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-22.6</w:t>
            </w:r>
          </w:p>
        </w:tc>
        <w:tc>
          <w:tcPr>
            <w:tcW w:w="1346" w:type="dxa"/>
            <w:noWrap/>
            <w:hideMark/>
          </w:tcPr>
          <w:p w14:paraId="33BC71A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2.87</w:t>
            </w:r>
          </w:p>
        </w:tc>
      </w:tr>
      <w:tr w:rsidR="004E2C13" w:rsidRPr="006D5584" w14:paraId="6B463F76"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0AF8EC1E" w14:textId="77777777" w:rsidR="004E2C13" w:rsidRPr="00573EBD" w:rsidRDefault="004E2C13" w:rsidP="004B0988">
            <w:pPr>
              <w:rPr>
                <w:b w:val="0"/>
                <w:bCs w:val="0"/>
                <w:sz w:val="20"/>
                <w:szCs w:val="20"/>
              </w:rPr>
            </w:pPr>
            <w:r w:rsidRPr="00573EBD">
              <w:rPr>
                <w:b w:val="0"/>
                <w:bCs w:val="0"/>
                <w:sz w:val="20"/>
                <w:szCs w:val="20"/>
              </w:rPr>
              <w:t>Northeast</w:t>
            </w:r>
          </w:p>
        </w:tc>
        <w:tc>
          <w:tcPr>
            <w:tcW w:w="985" w:type="dxa"/>
            <w:noWrap/>
            <w:hideMark/>
          </w:tcPr>
          <w:p w14:paraId="0A86FCB0"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0.58</w:t>
            </w:r>
          </w:p>
        </w:tc>
        <w:tc>
          <w:tcPr>
            <w:tcW w:w="983" w:type="dxa"/>
            <w:noWrap/>
            <w:hideMark/>
          </w:tcPr>
          <w:p w14:paraId="7798B1D8"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0.74</w:t>
            </w:r>
          </w:p>
        </w:tc>
        <w:tc>
          <w:tcPr>
            <w:tcW w:w="982" w:type="dxa"/>
            <w:noWrap/>
            <w:hideMark/>
          </w:tcPr>
          <w:p w14:paraId="37EB975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0.75</w:t>
            </w:r>
          </w:p>
        </w:tc>
        <w:tc>
          <w:tcPr>
            <w:tcW w:w="982" w:type="dxa"/>
            <w:noWrap/>
            <w:hideMark/>
          </w:tcPr>
          <w:p w14:paraId="641ABA3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1.02</w:t>
            </w:r>
          </w:p>
        </w:tc>
        <w:tc>
          <w:tcPr>
            <w:tcW w:w="1346" w:type="dxa"/>
            <w:noWrap/>
            <w:hideMark/>
          </w:tcPr>
          <w:p w14:paraId="70663A8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28.15</w:t>
            </w:r>
          </w:p>
        </w:tc>
        <w:tc>
          <w:tcPr>
            <w:tcW w:w="1346" w:type="dxa"/>
            <w:noWrap/>
            <w:hideMark/>
          </w:tcPr>
          <w:p w14:paraId="1CE10F03"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1.36</w:t>
            </w:r>
          </w:p>
        </w:tc>
        <w:tc>
          <w:tcPr>
            <w:tcW w:w="1346" w:type="dxa"/>
            <w:noWrap/>
            <w:hideMark/>
          </w:tcPr>
          <w:p w14:paraId="0109AD33"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34.74</w:t>
            </w:r>
          </w:p>
        </w:tc>
      </w:tr>
      <w:tr w:rsidR="004E2C13" w:rsidRPr="006D5584" w14:paraId="56CFAE3C"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00FD8C15" w14:textId="77777777" w:rsidR="004E2C13" w:rsidRPr="00573EBD" w:rsidRDefault="004E2C13" w:rsidP="004B0988">
            <w:pPr>
              <w:rPr>
                <w:b w:val="0"/>
                <w:bCs w:val="0"/>
                <w:sz w:val="20"/>
                <w:szCs w:val="20"/>
              </w:rPr>
            </w:pPr>
            <w:r w:rsidRPr="00573EBD">
              <w:rPr>
                <w:b w:val="0"/>
                <w:bCs w:val="0"/>
                <w:sz w:val="20"/>
                <w:szCs w:val="20"/>
              </w:rPr>
              <w:t>Northern Plains</w:t>
            </w:r>
          </w:p>
        </w:tc>
        <w:tc>
          <w:tcPr>
            <w:tcW w:w="985" w:type="dxa"/>
            <w:noWrap/>
            <w:hideMark/>
          </w:tcPr>
          <w:p w14:paraId="19F3A40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0.8</w:t>
            </w:r>
          </w:p>
        </w:tc>
        <w:tc>
          <w:tcPr>
            <w:tcW w:w="983" w:type="dxa"/>
            <w:noWrap/>
            <w:hideMark/>
          </w:tcPr>
          <w:p w14:paraId="32E83BF8"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0.7</w:t>
            </w:r>
          </w:p>
        </w:tc>
        <w:tc>
          <w:tcPr>
            <w:tcW w:w="982" w:type="dxa"/>
            <w:noWrap/>
            <w:hideMark/>
          </w:tcPr>
          <w:p w14:paraId="12516A82"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0.42</w:t>
            </w:r>
          </w:p>
        </w:tc>
        <w:tc>
          <w:tcPr>
            <w:tcW w:w="982" w:type="dxa"/>
            <w:noWrap/>
            <w:hideMark/>
          </w:tcPr>
          <w:p w14:paraId="586FAB0B"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0.4</w:t>
            </w:r>
            <w:r>
              <w:rPr>
                <w:sz w:val="20"/>
                <w:szCs w:val="20"/>
              </w:rPr>
              <w:t>3</w:t>
            </w:r>
          </w:p>
        </w:tc>
        <w:tc>
          <w:tcPr>
            <w:tcW w:w="1346" w:type="dxa"/>
            <w:noWrap/>
            <w:hideMark/>
          </w:tcPr>
          <w:p w14:paraId="4F01B4D3"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-12.04</w:t>
            </w:r>
          </w:p>
        </w:tc>
        <w:tc>
          <w:tcPr>
            <w:tcW w:w="1346" w:type="dxa"/>
            <w:noWrap/>
            <w:hideMark/>
          </w:tcPr>
          <w:p w14:paraId="0F82F37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-40.48</w:t>
            </w:r>
          </w:p>
        </w:tc>
        <w:tc>
          <w:tcPr>
            <w:tcW w:w="1346" w:type="dxa"/>
            <w:noWrap/>
            <w:hideMark/>
          </w:tcPr>
          <w:p w14:paraId="2DC417BE"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1.82</w:t>
            </w:r>
          </w:p>
        </w:tc>
      </w:tr>
      <w:tr w:rsidR="004E2C13" w:rsidRPr="006D5584" w14:paraId="3666D353"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785C284F" w14:textId="77777777" w:rsidR="004E2C13" w:rsidRPr="00573EBD" w:rsidRDefault="004E2C13" w:rsidP="004B0988">
            <w:pPr>
              <w:rPr>
                <w:b w:val="0"/>
                <w:bCs w:val="0"/>
                <w:sz w:val="20"/>
                <w:szCs w:val="20"/>
              </w:rPr>
            </w:pPr>
            <w:r w:rsidRPr="00573EBD">
              <w:rPr>
                <w:b w:val="0"/>
                <w:bCs w:val="0"/>
                <w:sz w:val="20"/>
                <w:szCs w:val="20"/>
              </w:rPr>
              <w:t>Pacific</w:t>
            </w:r>
          </w:p>
        </w:tc>
        <w:tc>
          <w:tcPr>
            <w:tcW w:w="985" w:type="dxa"/>
            <w:noWrap/>
            <w:hideMark/>
          </w:tcPr>
          <w:p w14:paraId="028349DA"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0.27</w:t>
            </w:r>
          </w:p>
        </w:tc>
        <w:tc>
          <w:tcPr>
            <w:tcW w:w="983" w:type="dxa"/>
            <w:noWrap/>
            <w:hideMark/>
          </w:tcPr>
          <w:p w14:paraId="01B4D9EF"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w:t>
            </w:r>
          </w:p>
        </w:tc>
        <w:tc>
          <w:tcPr>
            <w:tcW w:w="982" w:type="dxa"/>
            <w:noWrap/>
            <w:hideMark/>
          </w:tcPr>
          <w:p w14:paraId="12195FF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0.28</w:t>
            </w:r>
          </w:p>
        </w:tc>
        <w:tc>
          <w:tcPr>
            <w:tcW w:w="982" w:type="dxa"/>
            <w:noWrap/>
            <w:hideMark/>
          </w:tcPr>
          <w:p w14:paraId="72839C2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0.29</w:t>
            </w:r>
          </w:p>
        </w:tc>
        <w:tc>
          <w:tcPr>
            <w:tcW w:w="1346" w:type="dxa"/>
            <w:noWrap/>
            <w:hideMark/>
          </w:tcPr>
          <w:p w14:paraId="3E099DE9"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9.39</w:t>
            </w:r>
          </w:p>
        </w:tc>
        <w:tc>
          <w:tcPr>
            <w:tcW w:w="1346" w:type="dxa"/>
            <w:noWrap/>
            <w:hideMark/>
          </w:tcPr>
          <w:p w14:paraId="11FBC7F1"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-4.86</w:t>
            </w:r>
          </w:p>
        </w:tc>
        <w:tc>
          <w:tcPr>
            <w:tcW w:w="1346" w:type="dxa"/>
            <w:noWrap/>
            <w:hideMark/>
          </w:tcPr>
          <w:p w14:paraId="0332294B"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1.18</w:t>
            </w:r>
          </w:p>
        </w:tc>
      </w:tr>
      <w:tr w:rsidR="004E2C13" w:rsidRPr="006D5584" w14:paraId="00405831"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21C5F006" w14:textId="77777777" w:rsidR="004E2C13" w:rsidRPr="00573EBD" w:rsidRDefault="004E2C13" w:rsidP="004B0988">
            <w:pPr>
              <w:rPr>
                <w:b w:val="0"/>
                <w:bCs w:val="0"/>
                <w:sz w:val="20"/>
                <w:szCs w:val="20"/>
              </w:rPr>
            </w:pPr>
            <w:r w:rsidRPr="00573EBD">
              <w:rPr>
                <w:b w:val="0"/>
                <w:bCs w:val="0"/>
                <w:sz w:val="20"/>
                <w:szCs w:val="20"/>
              </w:rPr>
              <w:t>Southeast</w:t>
            </w:r>
          </w:p>
        </w:tc>
        <w:tc>
          <w:tcPr>
            <w:tcW w:w="985" w:type="dxa"/>
            <w:noWrap/>
            <w:hideMark/>
          </w:tcPr>
          <w:p w14:paraId="4195CAA1"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0.97</w:t>
            </w:r>
          </w:p>
        </w:tc>
        <w:tc>
          <w:tcPr>
            <w:tcW w:w="983" w:type="dxa"/>
            <w:noWrap/>
            <w:hideMark/>
          </w:tcPr>
          <w:p w14:paraId="2A8B620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1.05</w:t>
            </w:r>
          </w:p>
        </w:tc>
        <w:tc>
          <w:tcPr>
            <w:tcW w:w="982" w:type="dxa"/>
            <w:noWrap/>
            <w:hideMark/>
          </w:tcPr>
          <w:p w14:paraId="403C4A5C"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0.93</w:t>
            </w:r>
          </w:p>
        </w:tc>
        <w:tc>
          <w:tcPr>
            <w:tcW w:w="982" w:type="dxa"/>
            <w:noWrap/>
            <w:hideMark/>
          </w:tcPr>
          <w:p w14:paraId="63FD7E8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1.09</w:t>
            </w:r>
          </w:p>
        </w:tc>
        <w:tc>
          <w:tcPr>
            <w:tcW w:w="1346" w:type="dxa"/>
            <w:noWrap/>
            <w:hideMark/>
          </w:tcPr>
          <w:p w14:paraId="0EEB78A8"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7.93</w:t>
            </w:r>
          </w:p>
        </w:tc>
        <w:tc>
          <w:tcPr>
            <w:tcW w:w="1346" w:type="dxa"/>
            <w:noWrap/>
            <w:hideMark/>
          </w:tcPr>
          <w:p w14:paraId="7A806B51"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-11.5</w:t>
            </w:r>
          </w:p>
        </w:tc>
        <w:tc>
          <w:tcPr>
            <w:tcW w:w="1346" w:type="dxa"/>
            <w:noWrap/>
            <w:hideMark/>
          </w:tcPr>
          <w:p w14:paraId="2BA1FBA9"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sz w:val="20"/>
                <w:szCs w:val="20"/>
              </w:rPr>
            </w:pPr>
            <w:r w:rsidRPr="006D5584">
              <w:rPr>
                <w:sz w:val="20"/>
                <w:szCs w:val="20"/>
              </w:rPr>
              <w:t>17.29</w:t>
            </w:r>
          </w:p>
        </w:tc>
      </w:tr>
      <w:tr w:rsidR="004E2C13" w:rsidRPr="006D5584" w14:paraId="4315F9F5" w14:textId="77777777" w:rsidTr="004B098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F840274" w14:textId="77777777" w:rsidR="004E2C13" w:rsidRPr="00573EBD" w:rsidRDefault="004E2C13" w:rsidP="004B0988">
            <w:pPr>
              <w:rPr>
                <w:b w:val="0"/>
                <w:bCs w:val="0"/>
                <w:sz w:val="20"/>
                <w:szCs w:val="20"/>
              </w:rPr>
            </w:pPr>
            <w:r w:rsidRPr="00573EBD">
              <w:rPr>
                <w:b w:val="0"/>
                <w:bCs w:val="0"/>
                <w:sz w:val="20"/>
                <w:szCs w:val="20"/>
              </w:rPr>
              <w:t>Southern Plains</w:t>
            </w:r>
          </w:p>
        </w:tc>
        <w:tc>
          <w:tcPr>
            <w:tcW w:w="985" w:type="dxa"/>
            <w:noWrap/>
            <w:hideMark/>
          </w:tcPr>
          <w:p w14:paraId="465EEDE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0.32</w:t>
            </w:r>
          </w:p>
        </w:tc>
        <w:tc>
          <w:tcPr>
            <w:tcW w:w="983" w:type="dxa"/>
            <w:noWrap/>
            <w:hideMark/>
          </w:tcPr>
          <w:p w14:paraId="42D90C36"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0.34</w:t>
            </w:r>
          </w:p>
        </w:tc>
        <w:tc>
          <w:tcPr>
            <w:tcW w:w="982" w:type="dxa"/>
            <w:noWrap/>
            <w:hideMark/>
          </w:tcPr>
          <w:p w14:paraId="1BB638EE"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0.34</w:t>
            </w:r>
          </w:p>
        </w:tc>
        <w:tc>
          <w:tcPr>
            <w:tcW w:w="982" w:type="dxa"/>
            <w:noWrap/>
            <w:hideMark/>
          </w:tcPr>
          <w:p w14:paraId="38B2B69D"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0.3</w:t>
            </w:r>
          </w:p>
        </w:tc>
        <w:tc>
          <w:tcPr>
            <w:tcW w:w="1346" w:type="dxa"/>
            <w:noWrap/>
            <w:hideMark/>
          </w:tcPr>
          <w:p w14:paraId="3B1468B2"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7.32</w:t>
            </w:r>
          </w:p>
        </w:tc>
        <w:tc>
          <w:tcPr>
            <w:tcW w:w="1346" w:type="dxa"/>
            <w:noWrap/>
            <w:hideMark/>
          </w:tcPr>
          <w:p w14:paraId="19014F54"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-1.47</w:t>
            </w:r>
          </w:p>
        </w:tc>
        <w:tc>
          <w:tcPr>
            <w:tcW w:w="1346" w:type="dxa"/>
            <w:noWrap/>
            <w:hideMark/>
          </w:tcPr>
          <w:p w14:paraId="624D1B1C" w14:textId="77777777" w:rsidR="004E2C13" w:rsidRPr="006D5584" w:rsidRDefault="004E2C13" w:rsidP="004B0988">
            <w:pPr>
              <w:cnfStyle w:val="000000100000" w:firstRow="0" w:lastRow="0" w:firstColumn="0" w:lastColumn="0" w:oddVBand="0" w:evenVBand="0" w:oddHBand="1" w:evenHBand="0" w:firstRowFirstColumn="0" w:firstRowLastColumn="0" w:lastRowFirstColumn="0" w:lastRowLastColumn="0"/>
              <w:rPr>
                <w:sz w:val="20"/>
                <w:szCs w:val="20"/>
              </w:rPr>
            </w:pPr>
            <w:r w:rsidRPr="006D5584">
              <w:rPr>
                <w:sz w:val="20"/>
                <w:szCs w:val="20"/>
              </w:rPr>
              <w:t>-11.52</w:t>
            </w:r>
          </w:p>
        </w:tc>
      </w:tr>
      <w:tr w:rsidR="004E2C13" w:rsidRPr="006D5584" w14:paraId="7AF69DA7" w14:textId="77777777" w:rsidTr="004B0988">
        <w:trPr>
          <w:trHeight w:val="320"/>
        </w:trPr>
        <w:tc>
          <w:tcPr>
            <w:cnfStyle w:val="001000000000" w:firstRow="0" w:lastRow="0" w:firstColumn="1" w:lastColumn="0" w:oddVBand="0" w:evenVBand="0" w:oddHBand="0" w:evenHBand="0" w:firstRowFirstColumn="0" w:firstRowLastColumn="0" w:lastRowFirstColumn="0" w:lastRowLastColumn="0"/>
            <w:tcW w:w="1390" w:type="dxa"/>
            <w:noWrap/>
            <w:hideMark/>
          </w:tcPr>
          <w:p w14:paraId="3D22FE5A" w14:textId="77777777" w:rsidR="004E2C13" w:rsidRPr="006D5584" w:rsidRDefault="004E2C13" w:rsidP="004B0988">
            <w:pPr>
              <w:rPr>
                <w:sz w:val="20"/>
                <w:szCs w:val="20"/>
              </w:rPr>
            </w:pPr>
            <w:r w:rsidRPr="006D5584">
              <w:rPr>
                <w:sz w:val="20"/>
                <w:szCs w:val="20"/>
              </w:rPr>
              <w:t xml:space="preserve">National </w:t>
            </w:r>
          </w:p>
        </w:tc>
        <w:tc>
          <w:tcPr>
            <w:tcW w:w="985" w:type="dxa"/>
            <w:noWrap/>
            <w:hideMark/>
          </w:tcPr>
          <w:p w14:paraId="02848E1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0.69</w:t>
            </w:r>
          </w:p>
        </w:tc>
        <w:tc>
          <w:tcPr>
            <w:tcW w:w="983" w:type="dxa"/>
            <w:noWrap/>
            <w:hideMark/>
          </w:tcPr>
          <w:p w14:paraId="324B3E67"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0.77</w:t>
            </w:r>
          </w:p>
        </w:tc>
        <w:tc>
          <w:tcPr>
            <w:tcW w:w="982" w:type="dxa"/>
            <w:noWrap/>
            <w:hideMark/>
          </w:tcPr>
          <w:p w14:paraId="0BA5C48C"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0.76</w:t>
            </w:r>
          </w:p>
        </w:tc>
        <w:tc>
          <w:tcPr>
            <w:tcW w:w="982" w:type="dxa"/>
            <w:noWrap/>
            <w:hideMark/>
          </w:tcPr>
          <w:p w14:paraId="7171F224"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0.88</w:t>
            </w:r>
          </w:p>
        </w:tc>
        <w:tc>
          <w:tcPr>
            <w:tcW w:w="1346" w:type="dxa"/>
            <w:noWrap/>
            <w:hideMark/>
          </w:tcPr>
          <w:p w14:paraId="3B6353A0"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12.03</w:t>
            </w:r>
          </w:p>
        </w:tc>
        <w:tc>
          <w:tcPr>
            <w:tcW w:w="1346" w:type="dxa"/>
            <w:noWrap/>
            <w:hideMark/>
          </w:tcPr>
          <w:p w14:paraId="6C8C0766"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-1.68</w:t>
            </w:r>
          </w:p>
        </w:tc>
        <w:tc>
          <w:tcPr>
            <w:tcW w:w="1346" w:type="dxa"/>
            <w:noWrap/>
            <w:hideMark/>
          </w:tcPr>
          <w:p w14:paraId="5304D1EF" w14:textId="77777777" w:rsidR="004E2C13" w:rsidRPr="006D5584" w:rsidRDefault="004E2C13" w:rsidP="004B0988">
            <w:pPr>
              <w:cnfStyle w:val="000000000000" w:firstRow="0" w:lastRow="0" w:firstColumn="0" w:lastColumn="0" w:oddVBand="0" w:evenVBand="0" w:oddHBand="0" w:evenHBand="0" w:firstRowFirstColumn="0" w:firstRowLastColumn="0" w:lastRowFirstColumn="0" w:lastRowLastColumn="0"/>
              <w:rPr>
                <w:b/>
                <w:bCs/>
                <w:sz w:val="20"/>
                <w:szCs w:val="20"/>
              </w:rPr>
            </w:pPr>
            <w:r w:rsidRPr="006D5584">
              <w:rPr>
                <w:b/>
                <w:bCs/>
                <w:sz w:val="20"/>
                <w:szCs w:val="20"/>
              </w:rPr>
              <w:t>15.41</w:t>
            </w:r>
          </w:p>
        </w:tc>
      </w:tr>
    </w:tbl>
    <w:p w14:paraId="434693F5" w14:textId="7F7A8F73" w:rsidR="004E2C13" w:rsidRPr="00D12797" w:rsidRDefault="004E2C13" w:rsidP="00D12797">
      <w:pPr>
        <w:pStyle w:val="NoSpacing"/>
        <w:rPr>
          <w:sz w:val="22"/>
          <w:szCs w:val="22"/>
        </w:rPr>
      </w:pPr>
      <w:r w:rsidRPr="006D5584">
        <w:rPr>
          <w:sz w:val="22"/>
          <w:szCs w:val="22"/>
        </w:rPr>
        <w:t xml:space="preserve">Source: </w:t>
      </w:r>
      <w:r>
        <w:rPr>
          <w:sz w:val="22"/>
          <w:szCs w:val="22"/>
        </w:rPr>
        <w:t>USDA NASS</w:t>
      </w:r>
      <w:r w:rsidRPr="006D5584">
        <w:rPr>
          <w:sz w:val="22"/>
          <w:szCs w:val="22"/>
        </w:rPr>
        <w:t xml:space="preserve"> (</w:t>
      </w:r>
      <w:r>
        <w:rPr>
          <w:sz w:val="22"/>
          <w:szCs w:val="22"/>
        </w:rPr>
        <w:t>2024</w:t>
      </w:r>
      <w:r w:rsidRPr="006D5584">
        <w:rPr>
          <w:sz w:val="22"/>
          <w:szCs w:val="22"/>
        </w:rPr>
        <w:t>) and authors' calculations</w:t>
      </w:r>
      <w:r>
        <w:rPr>
          <w:sz w:val="22"/>
          <w:szCs w:val="22"/>
        </w:rPr>
        <w:t>.</w:t>
      </w:r>
    </w:p>
    <w:p w14:paraId="74098F8B" w14:textId="34383F9B" w:rsidR="005D42B9" w:rsidRDefault="00AD0411" w:rsidP="005D42B9">
      <w:pPr>
        <w:pStyle w:val="Heading1"/>
      </w:pPr>
      <w:r>
        <w:t xml:space="preserve">Econometric </w:t>
      </w:r>
      <w:r w:rsidR="005D42B9" w:rsidRPr="007245FD">
        <w:t>Method</w:t>
      </w:r>
      <w:r w:rsidR="00E06B8C">
        <w:t>s</w:t>
      </w:r>
    </w:p>
    <w:p w14:paraId="6522DE46" w14:textId="77777777" w:rsidR="00BA29FA" w:rsidRDefault="00BA29FA" w:rsidP="00BA29FA">
      <w:pPr>
        <w:jc w:val="both"/>
      </w:pPr>
      <w:r w:rsidRPr="00BA29FA">
        <w:t xml:space="preserve">Drought can influence stocking rates both immediately and over the long term, with its effects often </w:t>
      </w:r>
      <w:proofErr w:type="gramStart"/>
      <w:r w:rsidRPr="00BA29FA">
        <w:t>lagging behind</w:t>
      </w:r>
      <w:proofErr w:type="gramEnd"/>
      <w:r w:rsidRPr="00BA29FA">
        <w:t xml:space="preserve"> the onset of drought conditions. Klemm and Briske (2019) highlight that the full impact of drought may not be immediately reflected in ranchers’ decisions, as forage depletion occurs gradually. Initially, producers may rely on hay reserves or supplemental feed to sustain their herds, temporarily delaying necessary adjustments to stocking rates. However, as drought conditions persist, the depletion of hay stocks and the rising costs of replenishment can force producers to lower stocking rates to prevent overgrazing and long-term pasture degradation. Even after normal precipitation resumes, pastures often require extended periods to recover, further prolonging the effects of drought on forage availability. </w:t>
      </w:r>
    </w:p>
    <w:p w14:paraId="2F04FADD" w14:textId="2A2BE09C" w:rsidR="005405D1" w:rsidRDefault="00B55F22" w:rsidP="00E128BD">
      <w:pPr>
        <w:ind w:firstLine="720"/>
        <w:jc w:val="both"/>
      </w:pPr>
      <w:r w:rsidRPr="00B55F22">
        <w:t xml:space="preserve">To capture both the immediate and delayed impacts of drought, this study incorporates lagged variables of drought-related climate measures, specifically the water deficit or surplus variable </w:t>
      </w:r>
      <m:oMath>
        <m:sSub>
          <m:sSubPr>
            <m:ctrlPr>
              <w:rPr>
                <w:rFonts w:ascii="Cambria Math" w:hAnsi="Cambria Math"/>
                <w:i/>
              </w:rPr>
            </m:ctrlPr>
          </m:sSubPr>
          <m:e>
            <m:r>
              <w:rPr>
                <w:rFonts w:ascii="Cambria Math" w:hAnsi="Cambria Math"/>
              </w:rPr>
              <m:t>D</m:t>
            </m:r>
          </m:e>
          <m:sub>
            <m:r>
              <w:rPr>
                <w:rFonts w:ascii="Cambria Math" w:hAnsi="Cambria Math"/>
              </w:rPr>
              <m:t>it</m:t>
            </m:r>
          </m:sub>
        </m:sSub>
      </m:oMath>
      <w:r w:rsidR="005405D1" w:rsidRPr="005405D1">
        <w:t xml:space="preserve">. </w:t>
      </w:r>
      <w:r w:rsidR="00D313DB" w:rsidRPr="00D313DB">
        <w:t>By including up to five lagged years in our analysis, we account for the persistent effects of water shortages or surpluses on stocking rates. To address potential multicollinearity and summarize the influence of multiple drought variables over time, we apply Principal Component Analysis (PCA) to construct a single drought index. This allows us to extract the dominant variation among drought-related measures, refining our estimates and ensuring a more comprehensive understanding of how drought influences livestock management decisions.</w:t>
      </w:r>
    </w:p>
    <w:p w14:paraId="0D645CA0" w14:textId="77777777" w:rsidR="00A403DC" w:rsidRDefault="00A403DC" w:rsidP="00A403DC">
      <w:pPr>
        <w:ind w:firstLine="720"/>
      </w:pPr>
      <w:r w:rsidRPr="00A403DC">
        <w:t>Our empirical approach employs the following panel fixed-effects model:</w:t>
      </w:r>
    </w:p>
    <w:p w14:paraId="6ECCE1DB" w14:textId="6744A428" w:rsidR="00D2566F" w:rsidRPr="00706836" w:rsidRDefault="00000000" w:rsidP="00D2566F">
      <m:oMathPara>
        <m:oMath>
          <m:func>
            <m:funcPr>
              <m:ctrlPr>
                <w:rPr>
                  <w:rFonts w:ascii="Cambria Math" w:hAnsi="Cambria Math"/>
                </w:rPr>
              </m:ctrlPr>
            </m:funcPr>
            <m:fName>
              <m: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SR</m:t>
                      </m:r>
                    </m:e>
                    <m:sub>
                      <m:r>
                        <w:rPr>
                          <w:rFonts w:ascii="Cambria Math" w:hAnsi="Cambria Math"/>
                        </w:rPr>
                        <m:t>it</m:t>
                      </m:r>
                    </m:sub>
                  </m:sSub>
                </m:e>
              </m:d>
            </m:e>
          </m:func>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PC1</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GDD</m:t>
              </m:r>
            </m:e>
            <m:sub>
              <m:r>
                <w:rPr>
                  <w:rFonts w:ascii="Cambria Math" w:hAnsi="Cambria Math"/>
                </w:rPr>
                <m:t>it</m:t>
              </m:r>
            </m:sub>
          </m:sSub>
          <m:r>
            <m:rPr>
              <m:sty m:val="p"/>
            </m:rPr>
            <w:rPr>
              <w:rFonts w:ascii="Cambria Math" w:hAnsi="Cambria Math"/>
            </w:rPr>
            <m:t xml:space="preserve"> </m:t>
          </m:r>
          <m:r>
            <m:rPr>
              <m:sty m:val="p"/>
            </m:rPr>
            <w:rPr>
              <w:rFonts w:ascii="Cambria Math" w:eastAsiaTheme="minorEastAsia"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EDD</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4</m:t>
              </m:r>
            </m:sub>
          </m:sSub>
          <m:r>
            <m:rPr>
              <m:sty m:val="p"/>
            </m:rPr>
            <w:rPr>
              <w:rFonts w:ascii="Cambria Math" w:hAnsi="Cambria Math"/>
            </w:rPr>
            <m:t xml:space="preserve"> </m:t>
          </m:r>
          <m:sSub>
            <m:sSubPr>
              <m:ctrlPr>
                <w:rPr>
                  <w:rFonts w:ascii="Cambria Math" w:eastAsiaTheme="majorEastAsia" w:hAnsi="Cambria Math"/>
                  <w:color w:val="000000" w:themeColor="text1"/>
                </w:rPr>
              </m:ctrlPr>
            </m:sSubPr>
            <m:e>
              <m:r>
                <w:rPr>
                  <w:rFonts w:ascii="Cambria Math" w:hAnsi="Cambria Math"/>
                </w:rPr>
                <m:t>Hay</m:t>
              </m:r>
              <m:r>
                <m:rPr>
                  <m:sty m:val="p"/>
                </m:rPr>
                <w:rPr>
                  <w:rFonts w:ascii="Cambria Math" w:hAnsi="Cambria Math"/>
                </w:rPr>
                <m:t xml:space="preserve"> </m:t>
              </m:r>
              <m:r>
                <w:rPr>
                  <w:rFonts w:ascii="Cambria Math" w:hAnsi="Cambria Math"/>
                </w:rPr>
                <m:t>stock</m:t>
              </m:r>
            </m:e>
            <m:sub>
              <m:r>
                <w:rPr>
                  <w:rFonts w:ascii="Cambria Math" w:hAnsi="Cambria Math"/>
                </w:rPr>
                <m:t>it</m:t>
              </m:r>
            </m:sub>
          </m:sSub>
          <m:r>
            <m:rPr>
              <m:sty m:val="p"/>
            </m:rPr>
            <w:rPr>
              <w:rFonts w:ascii="Cambria Math" w:eastAsiaTheme="minorEastAsia"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5</m:t>
              </m:r>
            </m:sub>
          </m:sSub>
          <m:r>
            <m:rPr>
              <m:sty m:val="p"/>
            </m:rPr>
            <w:rPr>
              <w:rFonts w:ascii="Cambria Math" w:hAnsi="Cambria Math"/>
            </w:rPr>
            <m:t xml:space="preserve"> </m:t>
          </m:r>
          <m:sSubSup>
            <m:sSubSupPr>
              <m:ctrlPr>
                <w:rPr>
                  <w:rFonts w:ascii="Cambria Math" w:eastAsiaTheme="minorEastAsia" w:hAnsi="Cambria Math"/>
                </w:rPr>
              </m:ctrlPr>
            </m:sSubSupPr>
            <m:e>
              <m:r>
                <w:rPr>
                  <w:rFonts w:ascii="Cambria Math" w:eastAsiaTheme="minorEastAsia" w:hAnsi="Cambria Math"/>
                </w:rPr>
                <m:t>Hay</m:t>
              </m:r>
              <m:r>
                <m:rPr>
                  <m:sty m:val="p"/>
                </m:rPr>
                <w:rPr>
                  <w:rFonts w:ascii="Cambria Math" w:eastAsiaTheme="minorEastAsia" w:hAnsi="Cambria Math"/>
                </w:rPr>
                <m:t xml:space="preserve"> </m:t>
              </m:r>
              <m:r>
                <w:rPr>
                  <w:rFonts w:ascii="Cambria Math" w:eastAsiaTheme="minorEastAsia" w:hAnsi="Cambria Math"/>
                </w:rPr>
                <m:t>stock</m:t>
              </m:r>
            </m:e>
            <m:sub>
              <m:r>
                <w:rPr>
                  <w:rFonts w:ascii="Cambria Math" w:eastAsiaTheme="minorEastAsia" w:hAnsi="Cambria Math"/>
                </w:rPr>
                <m:t>it</m:t>
              </m:r>
            </m:sub>
            <m:sup>
              <m:r>
                <m:rPr>
                  <m:sty m:val="p"/>
                </m:rPr>
                <w:rPr>
                  <w:rFonts w:ascii="Cambria Math" w:eastAsiaTheme="minorEastAsia" w:hAnsi="Cambria Math"/>
                </w:rPr>
                <m:t>2</m:t>
              </m:r>
            </m:sup>
          </m:sSubSup>
          <m:r>
            <m:rPr>
              <m:sty m:val="p"/>
            </m:rP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m:t>
              </m:r>
            </m:e>
            <m:sub>
              <m:r>
                <w:rPr>
                  <w:rFonts w:ascii="Cambria Math" w:eastAsiaTheme="minorEastAsia" w:hAnsi="Cambria Math"/>
                </w:rPr>
                <m:t>it</m:t>
              </m:r>
            </m:sub>
          </m:sSub>
          <m:r>
            <m:rPr>
              <m:sty m:val="p"/>
            </m:rPr>
            <w:rPr>
              <w:rFonts w:ascii="Cambria Math" w:eastAsiaTheme="minorEastAsia" w:hAnsi="Cambria Math"/>
            </w:rPr>
            <m:t>+</m:t>
          </m:r>
          <m:sSub>
            <m:sSubPr>
              <m:ctrlPr>
                <w:rPr>
                  <w:rFonts w:ascii="Cambria Math" w:hAnsi="Cambria Math"/>
                </w:rPr>
              </m:ctrlPr>
            </m:sSubPr>
            <m:e>
              <m:r>
                <w:rPr>
                  <w:rFonts w:ascii="Cambria Math" w:hAnsi="Cambria Math"/>
                </w:rPr>
                <m:t>u</m:t>
              </m:r>
            </m:e>
            <m:sub>
              <m:r>
                <w:rPr>
                  <w:rFonts w:ascii="Cambria Math" w:hAnsi="Cambria Math"/>
                </w:rPr>
                <m:t>it</m:t>
              </m:r>
            </m:sub>
          </m:sSub>
          <m:r>
            <m:rPr>
              <m:sty m:val="p"/>
            </m:rPr>
            <w:rPr>
              <w:rFonts w:ascii="Cambria Math" w:eastAsiaTheme="minorEastAsia" w:hAnsi="Cambria Math"/>
            </w:rPr>
            <m:t xml:space="preserve"> </m:t>
          </m:r>
        </m:oMath>
      </m:oMathPara>
    </w:p>
    <w:p w14:paraId="3D9EB8C0" w14:textId="6FC9070B" w:rsidR="005562D2" w:rsidRDefault="00D2566F" w:rsidP="00E814CC">
      <w:r w:rsidRPr="00706836">
        <w:lastRenderedPageBreak/>
        <w:t xml:space="preserve">where </w:t>
      </w:r>
      <w:r w:rsidR="0082219B">
        <w:t>th</w:t>
      </w:r>
      <w:r w:rsidR="0082219B" w:rsidRPr="00706836">
        <w:t>e dependent variable is the natural logarithm of the stocking rate</w:t>
      </w:r>
      <w:r w:rsidR="000A742A">
        <w:rPr>
          <w:rStyle w:val="FootnoteReference"/>
        </w:rPr>
        <w:footnoteReference w:id="4"/>
      </w:r>
      <w:r w:rsidR="0082219B" w:rsidRPr="00706836">
        <w:t xml:space="preserve"> </w:t>
      </w:r>
      <m:oMath>
        <m:r>
          <w:rPr>
            <w:rFonts w:ascii="Cambria Math" w:hAnsi="Cambria Math"/>
          </w:rPr>
          <m:t>log⁡(</m:t>
        </m:r>
        <m:sSub>
          <m:sSubPr>
            <m:ctrlPr>
              <w:rPr>
                <w:rFonts w:ascii="Cambria Math" w:hAnsi="Cambria Math"/>
                <w:i/>
              </w:rPr>
            </m:ctrlPr>
          </m:sSubPr>
          <m:e>
            <m:r>
              <w:rPr>
                <w:rFonts w:ascii="Cambria Math" w:hAnsi="Cambria Math"/>
              </w:rPr>
              <m:t>SR</m:t>
            </m:r>
          </m:e>
          <m:sub>
            <m:r>
              <w:rPr>
                <w:rFonts w:ascii="Cambria Math" w:hAnsi="Cambria Math"/>
              </w:rPr>
              <m:t>it</m:t>
            </m:r>
          </m:sub>
        </m:sSub>
        <m:r>
          <w:rPr>
            <w:rFonts w:ascii="Cambria Math" w:hAnsi="Cambria Math"/>
          </w:rPr>
          <m:t>)</m:t>
        </m:r>
      </m:oMath>
      <w:r w:rsidR="001F1D65">
        <w:t xml:space="preserve"> for </w:t>
      </w:r>
      <w:r w:rsidR="001F1D65" w:rsidRPr="007B6800">
        <w:t>county</w:t>
      </w:r>
      <w:r w:rsidR="001F1D65">
        <w:t xml:space="preserve"> </w:t>
      </w:r>
      <m:oMath>
        <m:r>
          <w:rPr>
            <w:rFonts w:ascii="Cambria Math" w:hAnsi="Cambria Math"/>
          </w:rPr>
          <m:t>i</m:t>
        </m:r>
      </m:oMath>
      <w:r w:rsidR="001F1D65">
        <w:t xml:space="preserve"> and year </w:t>
      </w:r>
      <m:oMath>
        <m:r>
          <w:rPr>
            <w:rFonts w:ascii="Cambria Math" w:hAnsi="Cambria Math"/>
          </w:rPr>
          <m:t>t</m:t>
        </m:r>
      </m:oMath>
      <w:r w:rsidR="0082219B" w:rsidRPr="00706836">
        <w:t>.</w:t>
      </w:r>
      <w:r w:rsidR="0082219B">
        <w:t xml:space="preserve"> </w:t>
      </w:r>
      <m:oMath>
        <m:sSub>
          <m:sSubPr>
            <m:ctrlPr>
              <w:rPr>
                <w:rFonts w:ascii="Cambria Math" w:hAnsi="Cambria Math"/>
              </w:rPr>
            </m:ctrlPr>
          </m:sSubPr>
          <m:e>
            <m:r>
              <w:rPr>
                <w:rFonts w:ascii="Cambria Math" w:hAnsi="Cambria Math"/>
              </w:rPr>
              <m:t>PC1</m:t>
            </m:r>
          </m:e>
          <m:sub>
            <m:r>
              <w:rPr>
                <w:rFonts w:ascii="Cambria Math" w:hAnsi="Cambria Math"/>
              </w:rPr>
              <m:t>it</m:t>
            </m:r>
          </m:sub>
        </m:sSub>
      </m:oMath>
      <w:r w:rsidR="006610DB" w:rsidRPr="00706836">
        <w:t xml:space="preserve"> </w:t>
      </w:r>
      <w:r w:rsidR="006610DB">
        <w:t xml:space="preserve">is </w:t>
      </w:r>
      <w:r w:rsidR="006610DB" w:rsidRPr="00BC2BAD">
        <w:t>first principal component</w:t>
      </w:r>
      <w:r w:rsidR="006610DB" w:rsidRPr="00706836">
        <w:t xml:space="preserve"> </w:t>
      </w:r>
      <w:r w:rsidR="006610DB" w:rsidRPr="006610DB">
        <w:t>derived from</w:t>
      </w:r>
      <w:r w:rsidR="00F03172">
        <w:t xml:space="preserve"> the</w:t>
      </w:r>
      <w:r w:rsidR="006610DB" w:rsidRPr="006610DB">
        <w:t xml:space="preserve"> lagged </w:t>
      </w:r>
      <w:r w:rsidR="004C2D00">
        <w:t xml:space="preserve">water </w:t>
      </w:r>
      <w:r w:rsidR="00A71214">
        <w:t>surplus</w:t>
      </w:r>
      <w:r w:rsidR="004C2D00">
        <w:t xml:space="preserve"> or deficit</w:t>
      </w:r>
      <w:r w:rsidR="006610DB" w:rsidRPr="006610DB">
        <w:t xml:space="preserve"> measures using </w:t>
      </w:r>
      <w:r w:rsidR="006610DB">
        <w:t>PCA</w:t>
      </w:r>
      <w:r w:rsidR="001319D1">
        <w:t>.</w:t>
      </w:r>
      <w:r w:rsidR="006610DB">
        <w:t xml:space="preserve"> </w:t>
      </w:r>
      <m:oMath>
        <m:sSub>
          <m:sSubPr>
            <m:ctrlPr>
              <w:rPr>
                <w:rFonts w:ascii="Cambria Math" w:hAnsi="Cambria Math"/>
              </w:rPr>
            </m:ctrlPr>
          </m:sSubPr>
          <m:e>
            <m:r>
              <w:rPr>
                <w:rFonts w:ascii="Cambria Math" w:hAnsi="Cambria Math"/>
              </w:rPr>
              <m:t>GDD</m:t>
            </m:r>
          </m:e>
          <m:sub>
            <m:r>
              <w:rPr>
                <w:rFonts w:ascii="Cambria Math" w:hAnsi="Cambria Math"/>
              </w:rPr>
              <m:t>it</m:t>
            </m:r>
          </m:sub>
        </m:sSub>
      </m:oMath>
      <w:r w:rsidR="00823ADB">
        <w:t xml:space="preserve"> and </w:t>
      </w:r>
      <m:oMath>
        <m:sSub>
          <m:sSubPr>
            <m:ctrlPr>
              <w:rPr>
                <w:rFonts w:ascii="Cambria Math" w:hAnsi="Cambria Math"/>
              </w:rPr>
            </m:ctrlPr>
          </m:sSubPr>
          <m:e>
            <m:r>
              <w:rPr>
                <w:rFonts w:ascii="Cambria Math" w:hAnsi="Cambria Math"/>
              </w:rPr>
              <m:t>EDD</m:t>
            </m:r>
          </m:e>
          <m:sub>
            <m:r>
              <w:rPr>
                <w:rFonts w:ascii="Cambria Math" w:hAnsi="Cambria Math"/>
              </w:rPr>
              <m:t>it</m:t>
            </m:r>
          </m:sub>
        </m:sSub>
      </m:oMath>
      <w:r w:rsidR="00823ADB">
        <w:t xml:space="preserve"> correspond</w:t>
      </w:r>
      <w:r w:rsidR="001319D1">
        <w:t xml:space="preserve"> to</w:t>
      </w:r>
      <w:r w:rsidR="00823ADB">
        <w:t xml:space="preserve"> GDD and EDD values</w:t>
      </w:r>
      <w:r w:rsidR="00542C35" w:rsidRPr="00542C35">
        <w:t xml:space="preserve"> capturing the effects of heat stress on grazing land productivity.</w:t>
      </w:r>
      <w:r w:rsidR="00823ADB">
        <w:t xml:space="preserve"> </w:t>
      </w:r>
      <w:r w:rsidR="00542C35">
        <w:t>H</w:t>
      </w:r>
      <w:r w:rsidRPr="00706836">
        <w:t xml:space="preserve">ay stock is modeled with both linear </w:t>
      </w:r>
      <m:oMath>
        <m:sSub>
          <m:sSubPr>
            <m:ctrlPr>
              <w:rPr>
                <w:rFonts w:ascii="Cambria Math" w:eastAsiaTheme="majorEastAsia" w:hAnsi="Cambria Math"/>
                <w:color w:val="000000" w:themeColor="text1"/>
              </w:rPr>
            </m:ctrlPr>
          </m:sSubPr>
          <m:e>
            <m:r>
              <w:rPr>
                <w:rFonts w:ascii="Cambria Math" w:hAnsi="Cambria Math"/>
              </w:rPr>
              <m:t>Hay</m:t>
            </m:r>
            <m:r>
              <m:rPr>
                <m:sty m:val="p"/>
              </m:rPr>
              <w:rPr>
                <w:rFonts w:ascii="Cambria Math" w:hAnsi="Cambria Math"/>
              </w:rPr>
              <m:t xml:space="preserve"> </m:t>
            </m:r>
            <m:r>
              <w:rPr>
                <w:rFonts w:ascii="Cambria Math" w:hAnsi="Cambria Math"/>
              </w:rPr>
              <m:t>stock</m:t>
            </m:r>
          </m:e>
          <m:sub>
            <m:r>
              <w:rPr>
                <w:rFonts w:ascii="Cambria Math" w:hAnsi="Cambria Math"/>
              </w:rPr>
              <m:t>it</m:t>
            </m:r>
          </m:sub>
        </m:sSub>
      </m:oMath>
      <w:r w:rsidR="00823ADB">
        <w:rPr>
          <w:color w:val="000000" w:themeColor="text1"/>
        </w:rPr>
        <w:t xml:space="preserve"> </w:t>
      </w:r>
      <w:r w:rsidR="00823ADB">
        <w:t>and</w:t>
      </w:r>
      <w:r w:rsidR="0082219B">
        <w:t xml:space="preserve"> </w:t>
      </w:r>
      <w:r w:rsidRPr="00706836">
        <w:t xml:space="preserve">quadratic </w:t>
      </w:r>
      <m:oMath>
        <m:sSubSup>
          <m:sSubSupPr>
            <m:ctrlPr>
              <w:rPr>
                <w:rFonts w:ascii="Cambria Math" w:eastAsiaTheme="minorEastAsia" w:hAnsi="Cambria Math"/>
              </w:rPr>
            </m:ctrlPr>
          </m:sSubSupPr>
          <m:e>
            <m:r>
              <w:rPr>
                <w:rFonts w:ascii="Cambria Math" w:eastAsiaTheme="minorEastAsia" w:hAnsi="Cambria Math"/>
              </w:rPr>
              <m:t>Hay</m:t>
            </m:r>
            <m:r>
              <m:rPr>
                <m:sty m:val="p"/>
              </m:rPr>
              <w:rPr>
                <w:rFonts w:ascii="Cambria Math" w:eastAsiaTheme="minorEastAsia" w:hAnsi="Cambria Math"/>
              </w:rPr>
              <m:t xml:space="preserve"> </m:t>
            </m:r>
            <m:r>
              <w:rPr>
                <w:rFonts w:ascii="Cambria Math" w:eastAsiaTheme="minorEastAsia" w:hAnsi="Cambria Math"/>
              </w:rPr>
              <m:t>stock</m:t>
            </m:r>
          </m:e>
          <m:sub>
            <m:r>
              <w:rPr>
                <w:rFonts w:ascii="Cambria Math" w:eastAsiaTheme="minorEastAsia" w:hAnsi="Cambria Math"/>
              </w:rPr>
              <m:t>it</m:t>
            </m:r>
          </m:sub>
          <m:sup>
            <m:r>
              <m:rPr>
                <m:sty m:val="p"/>
              </m:rPr>
              <w:rPr>
                <w:rFonts w:ascii="Cambria Math" w:eastAsiaTheme="minorEastAsia" w:hAnsi="Cambria Math"/>
              </w:rPr>
              <m:t>2</m:t>
            </m:r>
          </m:sup>
        </m:sSubSup>
      </m:oMath>
      <w:r w:rsidR="00823ADB">
        <w:t xml:space="preserve"> </w:t>
      </w:r>
      <w:r w:rsidRPr="00706836">
        <w:t xml:space="preserve">terms to capture potential diminishing returns or other non-linear effects. Finally, the </w:t>
      </w:r>
      <w:r w:rsidR="00E86A1F">
        <w:t xml:space="preserve">county </w:t>
      </w:r>
      <w:r w:rsidRPr="00706836">
        <w:t>fixed effects</w:t>
      </w:r>
      <w:r w:rsidR="00E86A1F">
        <w:t xml:space="preserve"> </w:t>
      </w:r>
      <w:r w:rsidRPr="00706836">
        <w:t>(</w:t>
      </w:r>
      <m:oMath>
        <m:sSub>
          <m:sSubPr>
            <m:ctrlPr>
              <w:rPr>
                <w:rFonts w:ascii="Cambria Math" w:eastAsiaTheme="minorEastAsia" w:hAnsi="Cambria Math"/>
              </w:rPr>
            </m:ctrlPr>
          </m:sSubPr>
          <m:e>
            <m:r>
              <m:rPr>
                <m:sty m:val="p"/>
              </m:rPr>
              <w:rPr>
                <w:rFonts w:ascii="Cambria Math" w:eastAsiaTheme="minorEastAsia" w:hAnsi="Cambria Math"/>
              </w:rPr>
              <m:t>∈</m:t>
            </m:r>
          </m:e>
          <m:sub>
            <m:r>
              <w:rPr>
                <w:rFonts w:ascii="Cambria Math" w:eastAsiaTheme="minorEastAsia" w:hAnsi="Cambria Math"/>
              </w:rPr>
              <m:t>it</m:t>
            </m:r>
          </m:sub>
        </m:sSub>
      </m:oMath>
      <w:r w:rsidRPr="00706836">
        <w:t>​) account for unobserved heterogeneity across counties</w:t>
      </w:r>
      <w:r w:rsidR="000A4E1C">
        <w:t xml:space="preserve"> (</w:t>
      </w:r>
      <w:r w:rsidRPr="00706836">
        <w:t>time-invariant factors such as soil quality and geographic features</w:t>
      </w:r>
      <w:r w:rsidR="000A4E1C">
        <w:t>)</w:t>
      </w:r>
      <w:r w:rsidRPr="00706836">
        <w:t xml:space="preserve">. </w:t>
      </w:r>
      <w:r w:rsidRPr="009019D9">
        <w:t>This comprehensive approach provides a robust framework to analyze how climatic factors and feed availability interact to influence stocking rates. It highlights the importance of supplemental feeding strategies and the role of climatic variability in shaping livestock management decisions.</w:t>
      </w:r>
    </w:p>
    <w:p w14:paraId="08C0E3C4" w14:textId="508B5CB7" w:rsidR="00571B5D" w:rsidRPr="00010673" w:rsidRDefault="00571B5D" w:rsidP="00571B5D">
      <w:pPr>
        <w:pStyle w:val="Heading1"/>
        <w:rPr>
          <w:b w:val="0"/>
          <w:bCs/>
        </w:rPr>
      </w:pPr>
      <w:r w:rsidRPr="007245FD">
        <w:t>Results</w:t>
      </w:r>
    </w:p>
    <w:p w14:paraId="281AA196" w14:textId="77777777" w:rsidR="000028C7" w:rsidRDefault="00C427FC" w:rsidP="000028C7">
      <w:pPr>
        <w:rPr>
          <w:bCs/>
        </w:rPr>
      </w:pPr>
      <w:r w:rsidRPr="00C427FC">
        <w:rPr>
          <w:bCs/>
        </w:rPr>
        <w:t>Table 2 presents the regression results. Across all models, the coefficient of the first principal component (</w:t>
      </w:r>
      <m:oMath>
        <m:sSub>
          <m:sSubPr>
            <m:ctrlPr>
              <w:rPr>
                <w:rFonts w:ascii="Cambria Math" w:hAnsi="Cambria Math"/>
              </w:rPr>
            </m:ctrlPr>
          </m:sSubPr>
          <m:e>
            <m:r>
              <w:rPr>
                <w:rFonts w:ascii="Cambria Math" w:hAnsi="Cambria Math"/>
              </w:rPr>
              <m:t>PC1</m:t>
            </m:r>
          </m:e>
          <m:sub>
            <m:r>
              <w:rPr>
                <w:rFonts w:ascii="Cambria Math" w:hAnsi="Cambria Math"/>
              </w:rPr>
              <m:t>it</m:t>
            </m:r>
          </m:sub>
        </m:sSub>
      </m:oMath>
      <w:r w:rsidRPr="00C427FC">
        <w:rPr>
          <w:bCs/>
        </w:rPr>
        <w:t xml:space="preserve">), derived from the lagged water surplus or deficit measures using PCA, is positive and statistically significant. This indicates that drought conditions, as measured by cumulative water availability, play a crucial role in shaping stocking rate decisions. Specifically, a one-standard-deviation increase in </w:t>
      </w:r>
      <m:oMath>
        <m:sSub>
          <m:sSubPr>
            <m:ctrlPr>
              <w:rPr>
                <w:rFonts w:ascii="Cambria Math" w:hAnsi="Cambria Math"/>
              </w:rPr>
            </m:ctrlPr>
          </m:sSubPr>
          <m:e>
            <m:r>
              <w:rPr>
                <w:rFonts w:ascii="Cambria Math" w:hAnsi="Cambria Math"/>
              </w:rPr>
              <m:t>PC1</m:t>
            </m:r>
          </m:e>
          <m:sub>
            <m:r>
              <w:rPr>
                <w:rFonts w:ascii="Cambria Math" w:hAnsi="Cambria Math"/>
              </w:rPr>
              <m:t>it</m:t>
            </m:r>
          </m:sub>
        </m:sSub>
      </m:oMath>
      <w:r w:rsidRPr="00C427FC">
        <w:rPr>
          <w:bCs/>
        </w:rPr>
        <w:t xml:space="preserve"> is associated with a 15% to 18% increase in stocking rates (AUMs per acre), depending on the model specification. This suggests that during periods of water surplus, ranchers </w:t>
      </w:r>
      <w:proofErr w:type="gramStart"/>
      <w:r w:rsidRPr="00C427FC">
        <w:rPr>
          <w:bCs/>
        </w:rPr>
        <w:t>are able to</w:t>
      </w:r>
      <w:proofErr w:type="gramEnd"/>
      <w:r w:rsidRPr="00C427FC">
        <w:rPr>
          <w:bCs/>
        </w:rPr>
        <w:t xml:space="preserve"> maintain higher stocking rates due to improved forage availability.</w:t>
      </w:r>
      <w:r w:rsidR="00042059">
        <w:rPr>
          <w:bCs/>
        </w:rPr>
        <w:t xml:space="preserve"> </w:t>
      </w:r>
      <w:r w:rsidR="00042059" w:rsidRPr="00042059">
        <w:rPr>
          <w:bCs/>
        </w:rPr>
        <w:t>The results further indicate that favorable growing conditions, as measured by Growing Degree Days (GDD), positively influence stocking rates. More days with optimal temperature conditions support pasture growth, allowing for increased grazing capacity. Conversely, the coefficient for Extreme Degree Days (EDD) is negative and statistically significant across all models, implying that exposure to extreme heat reduces stocking rates. A one-unit increase in EDD is associated with a 3.5% to 3.7% decline in stocking rates, likely due to heat stress on livestock and diminished forage productivity.</w:t>
      </w:r>
    </w:p>
    <w:p w14:paraId="6E1AD729" w14:textId="77777777" w:rsidR="00B93A31" w:rsidRDefault="00B93A31" w:rsidP="000028C7">
      <w:pPr>
        <w:ind w:firstLine="720"/>
        <w:rPr>
          <w:bCs/>
        </w:rPr>
      </w:pPr>
      <w:r w:rsidRPr="00B93A31">
        <w:rPr>
          <w:bCs/>
        </w:rPr>
        <w:lastRenderedPageBreak/>
        <w:t>The analysis also reveals a nonlinear relationship between hay stock and stocking rates, as indicated by the inclusion of both linear and quadratic terms (Model 5). The marginal effect of hay stock on stocking rates depends on its level and follows the equation:</w:t>
      </w:r>
    </w:p>
    <w:p w14:paraId="02FED88D" w14:textId="0177DB0B" w:rsidR="00621F13" w:rsidRPr="00E10FCA" w:rsidRDefault="00000000" w:rsidP="000028C7">
      <w:pPr>
        <w:ind w:firstLine="720"/>
        <w:rPr>
          <w:color w:val="000000" w:themeColor="text1"/>
        </w:rPr>
      </w:pPr>
      <m:oMathPara>
        <m:oMath>
          <m:f>
            <m:fPr>
              <m:ctrlPr>
                <w:rPr>
                  <w:rFonts w:ascii="Cambria Math" w:hAnsi="Cambria Math"/>
                  <w:bCs/>
                  <w:i/>
                </w:rPr>
              </m:ctrlPr>
            </m:fPr>
            <m:num>
              <m:r>
                <w:rPr>
                  <w:rFonts w:ascii="Cambria Math" w:hAnsi="Cambria Math"/>
                </w:rPr>
                <m:t>∂</m:t>
              </m:r>
              <m:func>
                <m:funcPr>
                  <m:ctrlPr>
                    <w:rPr>
                      <w:rFonts w:ascii="Cambria Math" w:hAnsi="Cambria Math"/>
                    </w:rPr>
                  </m:ctrlPr>
                </m:funcPr>
                <m:fName>
                  <m:r>
                    <w:rPr>
                      <w:rFonts w:ascii="Cambria Math" w:hAnsi="Cambria Math"/>
                    </w:rPr>
                    <m:t>log</m:t>
                  </m:r>
                </m:fName>
                <m:e>
                  <m:d>
                    <m:dPr>
                      <m:ctrlPr>
                        <w:rPr>
                          <w:rFonts w:ascii="Cambria Math" w:hAnsi="Cambria Math"/>
                        </w:rPr>
                      </m:ctrlPr>
                    </m:dPr>
                    <m:e>
                      <m:sSub>
                        <m:sSubPr>
                          <m:ctrlPr>
                            <w:rPr>
                              <w:rFonts w:ascii="Cambria Math" w:hAnsi="Cambria Math"/>
                            </w:rPr>
                          </m:ctrlPr>
                        </m:sSubPr>
                        <m:e>
                          <m:r>
                            <w:rPr>
                              <w:rFonts w:ascii="Cambria Math" w:hAnsi="Cambria Math"/>
                            </w:rPr>
                            <m:t>SR</m:t>
                          </m:r>
                        </m:e>
                        <m:sub>
                          <m:r>
                            <w:rPr>
                              <w:rFonts w:ascii="Cambria Math" w:hAnsi="Cambria Math"/>
                            </w:rPr>
                            <m:t>it</m:t>
                          </m:r>
                        </m:sub>
                      </m:sSub>
                    </m:e>
                  </m:d>
                </m:e>
              </m:func>
            </m:num>
            <m:den>
              <m:r>
                <w:rPr>
                  <w:rFonts w:ascii="Cambria Math" w:hAnsi="Cambria Math"/>
                </w:rPr>
                <m:t xml:space="preserve">∂ </m:t>
              </m:r>
              <m:sSub>
                <m:sSubPr>
                  <m:ctrlPr>
                    <w:rPr>
                      <w:rFonts w:ascii="Cambria Math" w:eastAsiaTheme="majorEastAsia" w:hAnsi="Cambria Math"/>
                      <w:color w:val="000000" w:themeColor="text1"/>
                    </w:rPr>
                  </m:ctrlPr>
                </m:sSubPr>
                <m:e>
                  <m:r>
                    <w:rPr>
                      <w:rFonts w:ascii="Cambria Math" w:hAnsi="Cambria Math"/>
                    </w:rPr>
                    <m:t>Hay</m:t>
                  </m:r>
                  <m:r>
                    <m:rPr>
                      <m:sty m:val="p"/>
                    </m:rPr>
                    <w:rPr>
                      <w:rFonts w:ascii="Cambria Math" w:hAnsi="Cambria Math"/>
                    </w:rPr>
                    <m:t xml:space="preserve"> </m:t>
                  </m:r>
                  <m:r>
                    <w:rPr>
                      <w:rFonts w:ascii="Cambria Math" w:hAnsi="Cambria Math"/>
                    </w:rPr>
                    <m:t>stock</m:t>
                  </m:r>
                </m:e>
                <m:sub>
                  <m:r>
                    <w:rPr>
                      <w:rFonts w:ascii="Cambria Math" w:hAnsi="Cambria Math"/>
                    </w:rPr>
                    <m:t>it</m:t>
                  </m:r>
                </m:sub>
              </m:sSub>
            </m:den>
          </m:f>
          <m:r>
            <w:rPr>
              <w:rFonts w:ascii="Cambria Math" w:hAnsi="Cambria Math"/>
            </w:rPr>
            <m:t>=</m:t>
          </m:r>
          <m:r>
            <m:rPr>
              <m:sty m:val="p"/>
            </m:rPr>
            <w:rPr>
              <w:rFonts w:ascii="Cambria Math" w:hAnsi="Cambria Math"/>
            </w:rPr>
            <m:t xml:space="preserve">-0.0051 </m:t>
          </m:r>
          <m:r>
            <m:rPr>
              <m:sty m:val="p"/>
            </m:rPr>
            <w:rPr>
              <w:rFonts w:ascii="Cambria Math" w:eastAsiaTheme="minorEastAsia" w:hAnsi="Cambria Math"/>
            </w:rPr>
            <m:t>+</m:t>
          </m:r>
          <m:r>
            <m:rPr>
              <m:sty m:val="p"/>
            </m:rPr>
            <w:rPr>
              <w:rFonts w:ascii="Cambria Math" w:hAnsi="Cambria Math"/>
            </w:rPr>
            <m:t xml:space="preserve">0.000002 </m:t>
          </m:r>
          <m:sSub>
            <m:sSubPr>
              <m:ctrlPr>
                <w:rPr>
                  <w:rFonts w:ascii="Cambria Math" w:eastAsiaTheme="majorEastAsia" w:hAnsi="Cambria Math"/>
                  <w:color w:val="000000" w:themeColor="text1"/>
                </w:rPr>
              </m:ctrlPr>
            </m:sSubPr>
            <m:e>
              <m:r>
                <w:rPr>
                  <w:rFonts w:ascii="Cambria Math" w:hAnsi="Cambria Math"/>
                </w:rPr>
                <m:t>Hay</m:t>
              </m:r>
              <m:r>
                <m:rPr>
                  <m:sty m:val="p"/>
                </m:rPr>
                <w:rPr>
                  <w:rFonts w:ascii="Cambria Math" w:hAnsi="Cambria Math"/>
                </w:rPr>
                <m:t xml:space="preserve"> </m:t>
              </m:r>
              <m:r>
                <w:rPr>
                  <w:rFonts w:ascii="Cambria Math" w:hAnsi="Cambria Math"/>
                </w:rPr>
                <m:t>stock</m:t>
              </m:r>
            </m:e>
            <m:sub>
              <m:r>
                <w:rPr>
                  <w:rFonts w:ascii="Cambria Math" w:hAnsi="Cambria Math"/>
                </w:rPr>
                <m:t>it</m:t>
              </m:r>
            </m:sub>
          </m:sSub>
        </m:oMath>
      </m:oMathPara>
    </w:p>
    <w:p w14:paraId="5FBF97C7" w14:textId="49A41AFE" w:rsidR="00571B5D" w:rsidRPr="00B9593F" w:rsidRDefault="002018E4" w:rsidP="00D74FF4">
      <w:pPr>
        <w:ind w:firstLine="720"/>
        <w:rPr>
          <w:bCs/>
        </w:rPr>
      </w:pPr>
      <w:r w:rsidRPr="002018E4">
        <w:rPr>
          <w:bCs/>
        </w:rPr>
        <w:t>At lower hay stock levels, an increase in hay stock is associated with a decline in stocking rates, possibly reflecting producers’ reliance on hay as a substitute for grazing during periods of forage scarcity. However, as hay stock levels increase, this effect diminishes and may eventually reverse, suggesting that at higher levels, producers can sustain or increase stocking rates due to improved forage availability.</w:t>
      </w:r>
    </w:p>
    <w:p w14:paraId="542EA9D3" w14:textId="77777777" w:rsidR="00571B5D" w:rsidRPr="009C7907" w:rsidRDefault="00571B5D" w:rsidP="00571B5D">
      <w:pPr>
        <w:pStyle w:val="NoSpacing"/>
        <w:rPr>
          <w:b/>
          <w:bCs/>
          <w:sz w:val="22"/>
          <w:szCs w:val="22"/>
        </w:rPr>
      </w:pPr>
      <w:r w:rsidRPr="009C7907">
        <w:rPr>
          <w:b/>
          <w:bCs/>
          <w:sz w:val="22"/>
          <w:szCs w:val="22"/>
        </w:rPr>
        <w:t xml:space="preserve">Table </w:t>
      </w:r>
      <w:r>
        <w:rPr>
          <w:b/>
          <w:bCs/>
          <w:sz w:val="22"/>
          <w:szCs w:val="22"/>
        </w:rPr>
        <w:t>2</w:t>
      </w:r>
      <w:r w:rsidRPr="009C7907">
        <w:rPr>
          <w:b/>
          <w:bCs/>
          <w:sz w:val="22"/>
          <w:szCs w:val="22"/>
        </w:rPr>
        <w:t>. Regression analysis results</w:t>
      </w:r>
      <w:r>
        <w:rPr>
          <w:b/>
          <w:bCs/>
          <w:sz w:val="22"/>
          <w:szCs w:val="22"/>
        </w:rPr>
        <w:t>.</w:t>
      </w:r>
    </w:p>
    <w:tbl>
      <w:tblPr>
        <w:tblStyle w:val="PlainTable2"/>
        <w:tblW w:w="0" w:type="auto"/>
        <w:tblLook w:val="04A0" w:firstRow="1" w:lastRow="0" w:firstColumn="1" w:lastColumn="0" w:noHBand="0" w:noVBand="1"/>
      </w:tblPr>
      <w:tblGrid>
        <w:gridCol w:w="1440"/>
        <w:gridCol w:w="1236"/>
        <w:gridCol w:w="1236"/>
        <w:gridCol w:w="1316"/>
        <w:gridCol w:w="1316"/>
        <w:gridCol w:w="1476"/>
      </w:tblGrid>
      <w:tr w:rsidR="00571B5D" w:rsidRPr="00DA709E" w14:paraId="61CE8097" w14:textId="77777777" w:rsidTr="004B0988">
        <w:trPr>
          <w:cnfStyle w:val="100000000000" w:firstRow="1" w:lastRow="0" w:firstColumn="0" w:lastColumn="0" w:oddVBand="0" w:evenVBand="0" w:oddHBand="0"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1D35D926" w14:textId="77777777" w:rsidR="00571B5D" w:rsidRPr="00DA709E" w:rsidRDefault="00571B5D" w:rsidP="004B0988">
            <w:pPr>
              <w:rPr>
                <w:b w:val="0"/>
                <w:bCs w:val="0"/>
              </w:rPr>
            </w:pPr>
            <w:r w:rsidRPr="00DA709E">
              <w:rPr>
                <w:b w:val="0"/>
                <w:bCs w:val="0"/>
              </w:rPr>
              <w:t>Variable</w:t>
            </w:r>
          </w:p>
        </w:tc>
        <w:tc>
          <w:tcPr>
            <w:tcW w:w="0" w:type="auto"/>
          </w:tcPr>
          <w:p w14:paraId="35D843F2" w14:textId="77777777" w:rsidR="00571B5D" w:rsidRPr="00DD212E"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(1)</w:t>
            </w:r>
          </w:p>
        </w:tc>
        <w:tc>
          <w:tcPr>
            <w:tcW w:w="0" w:type="auto"/>
            <w:hideMark/>
          </w:tcPr>
          <w:p w14:paraId="44B37D25" w14:textId="77777777" w:rsidR="00571B5D" w:rsidRPr="00DA709E"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(2)</w:t>
            </w:r>
          </w:p>
        </w:tc>
        <w:tc>
          <w:tcPr>
            <w:tcW w:w="0" w:type="auto"/>
          </w:tcPr>
          <w:p w14:paraId="34D4D34D" w14:textId="77777777" w:rsidR="00571B5D"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(3)</w:t>
            </w:r>
          </w:p>
        </w:tc>
        <w:tc>
          <w:tcPr>
            <w:tcW w:w="0" w:type="auto"/>
          </w:tcPr>
          <w:p w14:paraId="63BB0929" w14:textId="77777777" w:rsidR="00571B5D"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(4)</w:t>
            </w:r>
          </w:p>
        </w:tc>
        <w:tc>
          <w:tcPr>
            <w:tcW w:w="0" w:type="auto"/>
          </w:tcPr>
          <w:p w14:paraId="195B6215" w14:textId="77777777" w:rsidR="00571B5D" w:rsidRDefault="00571B5D" w:rsidP="004B0988">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(5)</w:t>
            </w:r>
          </w:p>
        </w:tc>
      </w:tr>
      <w:tr w:rsidR="00571B5D" w:rsidRPr="00DA709E" w14:paraId="2B30F3AC" w14:textId="77777777" w:rsidTr="004B0988">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0" w:type="auto"/>
            <w:hideMark/>
          </w:tcPr>
          <w:p w14:paraId="4A280D34" w14:textId="150179D6" w:rsidR="00571B5D" w:rsidRPr="001B1A93" w:rsidRDefault="00000000" w:rsidP="004B0988">
            <w:pPr>
              <w:jc w:val="both"/>
              <w:rPr>
                <w:b w:val="0"/>
                <w:bCs w:val="0"/>
                <w:iCs/>
              </w:rPr>
            </w:pPr>
            <m:oMathPara>
              <m:oMathParaPr>
                <m:jc m:val="left"/>
              </m:oMathParaPr>
              <m:oMath>
                <m:sSub>
                  <m:sSubPr>
                    <m:ctrlPr>
                      <w:rPr>
                        <w:rFonts w:ascii="Cambria Math" w:hAnsi="Cambria Math"/>
                        <w:b w:val="0"/>
                        <w:bCs w:val="0"/>
                      </w:rPr>
                    </m:ctrlPr>
                  </m:sSubPr>
                  <m:e>
                    <m:r>
                      <w:rPr>
                        <w:rFonts w:ascii="Cambria Math" w:hAnsi="Cambria Math"/>
                      </w:rPr>
                      <m:t>PC1</m:t>
                    </m:r>
                  </m:e>
                  <m:sub>
                    <m:r>
                      <w:rPr>
                        <w:rFonts w:ascii="Cambria Math" w:hAnsi="Cambria Math"/>
                      </w:rPr>
                      <m:t>it</m:t>
                    </m:r>
                  </m:sub>
                </m:sSub>
              </m:oMath>
            </m:oMathPara>
          </w:p>
        </w:tc>
        <w:tc>
          <w:tcPr>
            <w:tcW w:w="0" w:type="auto"/>
          </w:tcPr>
          <w:p w14:paraId="7D8F5064" w14:textId="61ADD171" w:rsidR="00571B5D" w:rsidRPr="00DA709E" w:rsidRDefault="00C60174" w:rsidP="004B0988">
            <w:pPr>
              <w:jc w:val="center"/>
              <w:cnfStyle w:val="000000100000" w:firstRow="0" w:lastRow="0" w:firstColumn="0" w:lastColumn="0" w:oddVBand="0" w:evenVBand="0" w:oddHBand="1" w:evenHBand="0" w:firstRowFirstColumn="0" w:firstRowLastColumn="0" w:lastRowFirstColumn="0" w:lastRowLastColumn="0"/>
            </w:pPr>
            <w:r w:rsidRPr="00C60174">
              <w:t>0.163</w:t>
            </w:r>
            <w:r w:rsidR="001B2C82">
              <w:t>7</w:t>
            </w:r>
            <w:r w:rsidR="00571B5D" w:rsidRPr="00380DC9">
              <w:t>***</w:t>
            </w:r>
          </w:p>
        </w:tc>
        <w:tc>
          <w:tcPr>
            <w:tcW w:w="0" w:type="auto"/>
          </w:tcPr>
          <w:p w14:paraId="7E0BF79F" w14:textId="59AC817E" w:rsidR="00571B5D" w:rsidRPr="00DA709E" w:rsidRDefault="00EE11D9" w:rsidP="004B0988">
            <w:pPr>
              <w:jc w:val="center"/>
              <w:cnfStyle w:val="000000100000" w:firstRow="0" w:lastRow="0" w:firstColumn="0" w:lastColumn="0" w:oddVBand="0" w:evenVBand="0" w:oddHBand="1" w:evenHBand="0" w:firstRowFirstColumn="0" w:firstRowLastColumn="0" w:lastRowFirstColumn="0" w:lastRowLastColumn="0"/>
            </w:pPr>
            <w:r w:rsidRPr="00987C39">
              <w:t>0.1797</w:t>
            </w:r>
            <w:r w:rsidR="00571B5D" w:rsidRPr="00380DC9">
              <w:t>***</w:t>
            </w:r>
          </w:p>
        </w:tc>
        <w:tc>
          <w:tcPr>
            <w:tcW w:w="0" w:type="auto"/>
          </w:tcPr>
          <w:p w14:paraId="2C279329" w14:textId="0671E16F" w:rsidR="00571B5D" w:rsidRPr="00DA709E" w:rsidRDefault="00F84219" w:rsidP="004B0988">
            <w:pPr>
              <w:jc w:val="center"/>
              <w:cnfStyle w:val="000000100000" w:firstRow="0" w:lastRow="0" w:firstColumn="0" w:lastColumn="0" w:oddVBand="0" w:evenVBand="0" w:oddHBand="1" w:evenHBand="0" w:firstRowFirstColumn="0" w:firstRowLastColumn="0" w:lastRowFirstColumn="0" w:lastRowLastColumn="0"/>
            </w:pPr>
            <w:r w:rsidRPr="00987C39">
              <w:t>0.1638</w:t>
            </w:r>
            <w:r w:rsidR="00571B5D" w:rsidRPr="00380DC9">
              <w:t>**</w:t>
            </w:r>
            <w:r w:rsidR="003A2047">
              <w:t>*</w:t>
            </w:r>
          </w:p>
        </w:tc>
        <w:tc>
          <w:tcPr>
            <w:tcW w:w="0" w:type="auto"/>
          </w:tcPr>
          <w:p w14:paraId="0545643D" w14:textId="0440BA99" w:rsidR="00571B5D" w:rsidRPr="00DA709E" w:rsidRDefault="009052FE" w:rsidP="004B0988">
            <w:pPr>
              <w:jc w:val="center"/>
              <w:cnfStyle w:val="000000100000" w:firstRow="0" w:lastRow="0" w:firstColumn="0" w:lastColumn="0" w:oddVBand="0" w:evenVBand="0" w:oddHBand="1" w:evenHBand="0" w:firstRowFirstColumn="0" w:firstRowLastColumn="0" w:lastRowFirstColumn="0" w:lastRowLastColumn="0"/>
            </w:pPr>
            <w:r w:rsidRPr="00987C39">
              <w:t>0.1597</w:t>
            </w:r>
            <w:r w:rsidR="00571B5D" w:rsidRPr="00380DC9">
              <w:t>***</w:t>
            </w:r>
          </w:p>
        </w:tc>
        <w:tc>
          <w:tcPr>
            <w:tcW w:w="0" w:type="auto"/>
          </w:tcPr>
          <w:p w14:paraId="5223318E" w14:textId="453142D4" w:rsidR="00571B5D" w:rsidRPr="00DA709E" w:rsidRDefault="00C94F81" w:rsidP="004B0988">
            <w:pPr>
              <w:jc w:val="center"/>
              <w:cnfStyle w:val="000000100000" w:firstRow="0" w:lastRow="0" w:firstColumn="0" w:lastColumn="0" w:oddVBand="0" w:evenVBand="0" w:oddHBand="1" w:evenHBand="0" w:firstRowFirstColumn="0" w:firstRowLastColumn="0" w:lastRowFirstColumn="0" w:lastRowLastColumn="0"/>
            </w:pPr>
            <w:r w:rsidRPr="00987C39">
              <w:t>0.153</w:t>
            </w:r>
            <w:r w:rsidR="001B2C82">
              <w:t>5</w:t>
            </w:r>
            <w:r w:rsidR="00571B5D" w:rsidRPr="00380DC9">
              <w:t>*</w:t>
            </w:r>
            <w:r w:rsidR="00867C5A">
              <w:t>**</w:t>
            </w:r>
          </w:p>
        </w:tc>
      </w:tr>
      <w:tr w:rsidR="00571B5D" w:rsidRPr="00DA709E" w14:paraId="1E9711DC"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1000D438" w14:textId="7F4B54C1" w:rsidR="00571B5D" w:rsidRPr="001B1A93" w:rsidRDefault="00000000" w:rsidP="004B0988">
            <w:pPr>
              <w:jc w:val="both"/>
              <w:rPr>
                <w:b w:val="0"/>
                <w:bCs w:val="0"/>
                <w:iCs/>
              </w:rPr>
            </w:pPr>
            <m:oMath>
              <m:sSub>
                <m:sSubPr>
                  <m:ctrlPr>
                    <w:rPr>
                      <w:rFonts w:ascii="Cambria Math" w:hAnsi="Cambria Math"/>
                      <w:b w:val="0"/>
                      <w:bCs w:val="0"/>
                    </w:rPr>
                  </m:ctrlPr>
                </m:sSubPr>
                <m:e>
                  <m:r>
                    <w:rPr>
                      <w:rFonts w:ascii="Cambria Math" w:hAnsi="Cambria Math"/>
                    </w:rPr>
                    <m:t>GDD</m:t>
                  </m:r>
                </m:e>
                <m:sub>
                  <m:r>
                    <w:rPr>
                      <w:rFonts w:ascii="Cambria Math" w:hAnsi="Cambria Math"/>
                    </w:rPr>
                    <m:t>it</m:t>
                  </m:r>
                </m:sub>
              </m:sSub>
            </m:oMath>
            <w:r w:rsidR="00571B5D" w:rsidRPr="001B1A93">
              <w:rPr>
                <w:b w:val="0"/>
                <w:bCs w:val="0"/>
                <w:iCs/>
              </w:rPr>
              <w:t xml:space="preserve"> </w:t>
            </w:r>
          </w:p>
        </w:tc>
        <w:tc>
          <w:tcPr>
            <w:tcW w:w="0" w:type="auto"/>
          </w:tcPr>
          <w:p w14:paraId="0ADA2DCE"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6F1BF9EC" w14:textId="58910DAC" w:rsidR="00571B5D" w:rsidRPr="00DA709E" w:rsidRDefault="00EE11D9" w:rsidP="004B0988">
            <w:pPr>
              <w:jc w:val="center"/>
              <w:cnfStyle w:val="000000000000" w:firstRow="0" w:lastRow="0" w:firstColumn="0" w:lastColumn="0" w:oddVBand="0" w:evenVBand="0" w:oddHBand="0" w:evenHBand="0" w:firstRowFirstColumn="0" w:firstRowLastColumn="0" w:lastRowFirstColumn="0" w:lastRowLastColumn="0"/>
            </w:pPr>
            <w:r w:rsidRPr="00987C39">
              <w:t>0.008</w:t>
            </w:r>
            <w:r w:rsidR="001B2C82">
              <w:t>2</w:t>
            </w:r>
            <w:r w:rsidR="00976285">
              <w:t>***</w:t>
            </w:r>
          </w:p>
        </w:tc>
        <w:tc>
          <w:tcPr>
            <w:tcW w:w="0" w:type="auto"/>
          </w:tcPr>
          <w:p w14:paraId="1F4FB485" w14:textId="4FCD2198" w:rsidR="00571B5D" w:rsidRPr="00DA709E" w:rsidRDefault="00F84219" w:rsidP="004B0988">
            <w:pPr>
              <w:jc w:val="center"/>
              <w:cnfStyle w:val="000000000000" w:firstRow="0" w:lastRow="0" w:firstColumn="0" w:lastColumn="0" w:oddVBand="0" w:evenVBand="0" w:oddHBand="0" w:evenHBand="0" w:firstRowFirstColumn="0" w:firstRowLastColumn="0" w:lastRowFirstColumn="0" w:lastRowLastColumn="0"/>
            </w:pPr>
            <w:r w:rsidRPr="00987C39">
              <w:t>0.0119</w:t>
            </w:r>
            <w:r w:rsidR="00571B5D" w:rsidRPr="005A395E">
              <w:t>**</w:t>
            </w:r>
            <w:r w:rsidR="003A2047">
              <w:t>*</w:t>
            </w:r>
          </w:p>
        </w:tc>
        <w:tc>
          <w:tcPr>
            <w:tcW w:w="0" w:type="auto"/>
          </w:tcPr>
          <w:p w14:paraId="4FCD0771" w14:textId="28B1251D" w:rsidR="00571B5D" w:rsidRPr="00DA709E" w:rsidRDefault="009052FE" w:rsidP="004B0988">
            <w:pPr>
              <w:jc w:val="center"/>
              <w:cnfStyle w:val="000000000000" w:firstRow="0" w:lastRow="0" w:firstColumn="0" w:lastColumn="0" w:oddVBand="0" w:evenVBand="0" w:oddHBand="0" w:evenHBand="0" w:firstRowFirstColumn="0" w:firstRowLastColumn="0" w:lastRowFirstColumn="0" w:lastRowLastColumn="0"/>
            </w:pPr>
            <w:r w:rsidRPr="00987C39">
              <w:t>0.0115</w:t>
            </w:r>
            <w:r w:rsidR="00571B5D" w:rsidRPr="005A395E">
              <w:t>***</w:t>
            </w:r>
          </w:p>
        </w:tc>
        <w:tc>
          <w:tcPr>
            <w:tcW w:w="0" w:type="auto"/>
          </w:tcPr>
          <w:p w14:paraId="07A34B94" w14:textId="6843A691" w:rsidR="00571B5D" w:rsidRPr="00DA709E" w:rsidRDefault="00C94F81" w:rsidP="004B0988">
            <w:pPr>
              <w:jc w:val="center"/>
              <w:cnfStyle w:val="000000000000" w:firstRow="0" w:lastRow="0" w:firstColumn="0" w:lastColumn="0" w:oddVBand="0" w:evenVBand="0" w:oddHBand="0" w:evenHBand="0" w:firstRowFirstColumn="0" w:firstRowLastColumn="0" w:lastRowFirstColumn="0" w:lastRowLastColumn="0"/>
            </w:pPr>
            <w:r w:rsidRPr="00987C39">
              <w:t>0.0113</w:t>
            </w:r>
            <w:r w:rsidR="00571B5D" w:rsidRPr="005A395E">
              <w:t>***</w:t>
            </w:r>
          </w:p>
        </w:tc>
      </w:tr>
      <w:tr w:rsidR="00571B5D" w:rsidRPr="00DA709E" w14:paraId="43F9BB8E"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2494D507" w14:textId="75594EA0" w:rsidR="00571B5D" w:rsidRPr="009E3C34" w:rsidRDefault="00000000" w:rsidP="004B0988">
            <w:pPr>
              <w:jc w:val="both"/>
              <w:rPr>
                <w:b w:val="0"/>
                <w:bCs w:val="0"/>
                <w:iCs/>
              </w:rPr>
            </w:pPr>
            <m:oMath>
              <m:sSub>
                <m:sSubPr>
                  <m:ctrlPr>
                    <w:rPr>
                      <w:rFonts w:ascii="Cambria Math" w:hAnsi="Cambria Math"/>
                      <w:b w:val="0"/>
                      <w:bCs w:val="0"/>
                    </w:rPr>
                  </m:ctrlPr>
                </m:sSubPr>
                <m:e>
                  <m:r>
                    <m:rPr>
                      <m:sty m:val="bi"/>
                    </m:rPr>
                    <w:rPr>
                      <w:rFonts w:ascii="Cambria Math" w:hAnsi="Cambria Math"/>
                    </w:rPr>
                    <m:t>EDD</m:t>
                  </m:r>
                </m:e>
                <m:sub>
                  <m:r>
                    <m:rPr>
                      <m:sty m:val="bi"/>
                    </m:rPr>
                    <w:rPr>
                      <w:rFonts w:ascii="Cambria Math" w:hAnsi="Cambria Math"/>
                    </w:rPr>
                    <m:t>it</m:t>
                  </m:r>
                </m:sub>
              </m:sSub>
            </m:oMath>
            <w:r w:rsidR="00571B5D" w:rsidRPr="009E3C34">
              <w:rPr>
                <w:b w:val="0"/>
                <w:bCs w:val="0"/>
                <w:iCs/>
              </w:rPr>
              <w:t xml:space="preserve"> </w:t>
            </w:r>
          </w:p>
        </w:tc>
        <w:tc>
          <w:tcPr>
            <w:tcW w:w="0" w:type="auto"/>
          </w:tcPr>
          <w:p w14:paraId="7CBD388B"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022F25E2"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65CD0C77" w14:textId="7A3E2C83" w:rsidR="00571B5D" w:rsidRPr="00DA709E" w:rsidRDefault="00F84219" w:rsidP="004B0988">
            <w:pPr>
              <w:jc w:val="center"/>
              <w:cnfStyle w:val="000000100000" w:firstRow="0" w:lastRow="0" w:firstColumn="0" w:lastColumn="0" w:oddVBand="0" w:evenVBand="0" w:oddHBand="1" w:evenHBand="0" w:firstRowFirstColumn="0" w:firstRowLastColumn="0" w:lastRowFirstColumn="0" w:lastRowLastColumn="0"/>
            </w:pPr>
            <w:r w:rsidRPr="00987C39">
              <w:t>-0.0368</w:t>
            </w:r>
            <w:r w:rsidR="00571B5D" w:rsidRPr="000457A4">
              <w:t>*</w:t>
            </w:r>
            <w:r>
              <w:t>**</w:t>
            </w:r>
          </w:p>
        </w:tc>
        <w:tc>
          <w:tcPr>
            <w:tcW w:w="0" w:type="auto"/>
          </w:tcPr>
          <w:p w14:paraId="0664285F" w14:textId="4F9000B3" w:rsidR="00571B5D" w:rsidRPr="00DA709E" w:rsidRDefault="009052FE" w:rsidP="004B0988">
            <w:pPr>
              <w:jc w:val="center"/>
              <w:cnfStyle w:val="000000100000" w:firstRow="0" w:lastRow="0" w:firstColumn="0" w:lastColumn="0" w:oddVBand="0" w:evenVBand="0" w:oddHBand="1" w:evenHBand="0" w:firstRowFirstColumn="0" w:firstRowLastColumn="0" w:lastRowFirstColumn="0" w:lastRowLastColumn="0"/>
            </w:pPr>
            <w:r w:rsidRPr="00987C39">
              <w:t>-0.0372***</w:t>
            </w:r>
          </w:p>
        </w:tc>
        <w:tc>
          <w:tcPr>
            <w:tcW w:w="0" w:type="auto"/>
          </w:tcPr>
          <w:p w14:paraId="4B6D87A6" w14:textId="5A66973F" w:rsidR="00571B5D" w:rsidRPr="00DA709E" w:rsidRDefault="00C94F81" w:rsidP="004B0988">
            <w:pPr>
              <w:jc w:val="center"/>
              <w:cnfStyle w:val="000000100000" w:firstRow="0" w:lastRow="0" w:firstColumn="0" w:lastColumn="0" w:oddVBand="0" w:evenVBand="0" w:oddHBand="1" w:evenHBand="0" w:firstRowFirstColumn="0" w:firstRowLastColumn="0" w:lastRowFirstColumn="0" w:lastRowLastColumn="0"/>
            </w:pPr>
            <w:r w:rsidRPr="00987C39">
              <w:t>-0.034</w:t>
            </w:r>
            <w:r w:rsidR="001B2C82">
              <w:t>8</w:t>
            </w:r>
            <w:r w:rsidR="00867C5A">
              <w:t>*</w:t>
            </w:r>
            <w:r w:rsidR="00B36990">
              <w:t>**</w:t>
            </w:r>
          </w:p>
        </w:tc>
      </w:tr>
      <w:tr w:rsidR="00571B5D" w:rsidRPr="00DA709E" w14:paraId="78ED4E48"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5E9CFEAA" w14:textId="200FB7F2" w:rsidR="00571B5D" w:rsidRPr="00BE47A3" w:rsidRDefault="00000000" w:rsidP="004B0988">
            <w:pPr>
              <w:jc w:val="both"/>
              <w:rPr>
                <w:b w:val="0"/>
                <w:bCs w:val="0"/>
                <w:iCs/>
              </w:rPr>
            </w:pPr>
            <m:oMath>
              <m:sSub>
                <m:sSubPr>
                  <m:ctrlPr>
                    <w:rPr>
                      <w:rFonts w:ascii="Cambria Math" w:hAnsi="Cambria Math"/>
                    </w:rPr>
                  </m:ctrlPr>
                </m:sSubPr>
                <m:e>
                  <m:r>
                    <m:rPr>
                      <m:sty m:val="b"/>
                    </m:rPr>
                    <w:rPr>
                      <w:rFonts w:ascii="Cambria Math" w:hAnsi="Cambria Math"/>
                    </w:rPr>
                    <m:t>Hay stock</m:t>
                  </m:r>
                </m:e>
                <m:sub>
                  <m:r>
                    <m:rPr>
                      <m:sty m:val="bi"/>
                    </m:rPr>
                    <w:rPr>
                      <w:rFonts w:ascii="Cambria Math" w:hAnsi="Cambria Math"/>
                    </w:rPr>
                    <m:t>it</m:t>
                  </m:r>
                </m:sub>
              </m:sSub>
            </m:oMath>
            <w:r w:rsidR="00571B5D" w:rsidRPr="00BE47A3">
              <w:rPr>
                <w:b w:val="0"/>
                <w:bCs w:val="0"/>
                <w:iCs/>
              </w:rPr>
              <w:t xml:space="preserve"> </w:t>
            </w:r>
          </w:p>
        </w:tc>
        <w:tc>
          <w:tcPr>
            <w:tcW w:w="0" w:type="auto"/>
          </w:tcPr>
          <w:p w14:paraId="47E2B5EB"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5F69E35E"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7C4475AC" w14:textId="77777777"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p>
        </w:tc>
        <w:tc>
          <w:tcPr>
            <w:tcW w:w="0" w:type="auto"/>
          </w:tcPr>
          <w:p w14:paraId="6963303B" w14:textId="0EB54A56" w:rsidR="00571B5D" w:rsidRPr="00DA709E" w:rsidRDefault="009052FE" w:rsidP="004B0988">
            <w:pPr>
              <w:jc w:val="center"/>
              <w:cnfStyle w:val="000000000000" w:firstRow="0" w:lastRow="0" w:firstColumn="0" w:lastColumn="0" w:oddVBand="0" w:evenVBand="0" w:oddHBand="0" w:evenHBand="0" w:firstRowFirstColumn="0" w:firstRowLastColumn="0" w:lastRowFirstColumn="0" w:lastRowLastColumn="0"/>
            </w:pPr>
            <w:r w:rsidRPr="00987C39">
              <w:t>-0.000</w:t>
            </w:r>
            <w:r w:rsidR="001B2C82">
              <w:t>2</w:t>
            </w:r>
            <w:r w:rsidR="00571B5D" w:rsidRPr="00845041">
              <w:t>***</w:t>
            </w:r>
          </w:p>
        </w:tc>
        <w:tc>
          <w:tcPr>
            <w:tcW w:w="0" w:type="auto"/>
          </w:tcPr>
          <w:p w14:paraId="1D3E4517" w14:textId="6FBEC672" w:rsidR="00571B5D" w:rsidRPr="00DA709E" w:rsidRDefault="00C94F81" w:rsidP="004B0988">
            <w:pPr>
              <w:jc w:val="center"/>
              <w:cnfStyle w:val="000000000000" w:firstRow="0" w:lastRow="0" w:firstColumn="0" w:lastColumn="0" w:oddVBand="0" w:evenVBand="0" w:oddHBand="0" w:evenHBand="0" w:firstRowFirstColumn="0" w:firstRowLastColumn="0" w:lastRowFirstColumn="0" w:lastRowLastColumn="0"/>
            </w:pPr>
            <w:r w:rsidRPr="00987C39">
              <w:t>-0.005</w:t>
            </w:r>
            <w:r w:rsidR="001B2C82">
              <w:t>1</w:t>
            </w:r>
            <w:r w:rsidR="00571B5D" w:rsidRPr="00845041">
              <w:t>***</w:t>
            </w:r>
          </w:p>
        </w:tc>
      </w:tr>
      <w:tr w:rsidR="00571B5D" w:rsidRPr="00DA709E" w14:paraId="0F6217B8"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hideMark/>
          </w:tcPr>
          <w:p w14:paraId="42E11292" w14:textId="253EE6D7" w:rsidR="00571B5D" w:rsidRPr="00BE47A3" w:rsidRDefault="00000000" w:rsidP="004B0988">
            <w:pPr>
              <w:jc w:val="both"/>
              <w:rPr>
                <w:b w:val="0"/>
                <w:bCs w:val="0"/>
                <w:iCs/>
              </w:rPr>
            </w:pPr>
            <m:oMath>
              <m:sSubSup>
                <m:sSubSupPr>
                  <m:ctrlPr>
                    <w:rPr>
                      <w:rFonts w:ascii="Cambria Math" w:eastAsiaTheme="minorEastAsia" w:hAnsi="Cambria Math"/>
                      <w:b w:val="0"/>
                      <w:bCs w:val="0"/>
                      <w:iCs/>
                    </w:rPr>
                  </m:ctrlPr>
                </m:sSubSupPr>
                <m:e>
                  <m:r>
                    <m:rPr>
                      <m:sty m:val="b"/>
                    </m:rPr>
                    <w:rPr>
                      <w:rFonts w:ascii="Cambria Math" w:hAnsi="Cambria Math"/>
                    </w:rPr>
                    <m:t>Hay stock</m:t>
                  </m:r>
                </m:e>
                <m:sub>
                  <m:r>
                    <m:rPr>
                      <m:sty m:val="bi"/>
                    </m:rPr>
                    <w:rPr>
                      <w:rFonts w:ascii="Cambria Math" w:eastAsiaTheme="minorEastAsia" w:hAnsi="Cambria Math"/>
                    </w:rPr>
                    <m:t>it</m:t>
                  </m:r>
                </m:sub>
                <m:sup>
                  <m:r>
                    <m:rPr>
                      <m:sty m:val="bi"/>
                    </m:rPr>
                    <w:rPr>
                      <w:rFonts w:ascii="Cambria Math" w:eastAsiaTheme="minorEastAsia" w:hAnsi="Cambria Math"/>
                    </w:rPr>
                    <m:t>2</m:t>
                  </m:r>
                </m:sup>
              </m:sSubSup>
            </m:oMath>
            <w:r w:rsidR="00571B5D" w:rsidRPr="00BE47A3">
              <w:rPr>
                <w:b w:val="0"/>
                <w:bCs w:val="0"/>
                <w:iCs/>
              </w:rPr>
              <w:t xml:space="preserve"> </w:t>
            </w:r>
          </w:p>
        </w:tc>
        <w:tc>
          <w:tcPr>
            <w:tcW w:w="0" w:type="auto"/>
          </w:tcPr>
          <w:p w14:paraId="4F9252F7"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3B85A519"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111B81FB"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6756421D" w14:textId="77777777" w:rsidR="00571B5D" w:rsidRPr="00DA709E" w:rsidRDefault="00571B5D" w:rsidP="004B0988">
            <w:pPr>
              <w:jc w:val="center"/>
              <w:cnfStyle w:val="000000100000" w:firstRow="0" w:lastRow="0" w:firstColumn="0" w:lastColumn="0" w:oddVBand="0" w:evenVBand="0" w:oddHBand="1" w:evenHBand="0" w:firstRowFirstColumn="0" w:firstRowLastColumn="0" w:lastRowFirstColumn="0" w:lastRowLastColumn="0"/>
            </w:pPr>
          </w:p>
        </w:tc>
        <w:tc>
          <w:tcPr>
            <w:tcW w:w="0" w:type="auto"/>
          </w:tcPr>
          <w:p w14:paraId="73333AC2" w14:textId="3692CAE9" w:rsidR="00571B5D" w:rsidRPr="00DA709E" w:rsidRDefault="00C94F81" w:rsidP="004B0988">
            <w:pPr>
              <w:jc w:val="center"/>
              <w:cnfStyle w:val="000000100000" w:firstRow="0" w:lastRow="0" w:firstColumn="0" w:lastColumn="0" w:oddVBand="0" w:evenVBand="0" w:oddHBand="1" w:evenHBand="0" w:firstRowFirstColumn="0" w:firstRowLastColumn="0" w:lastRowFirstColumn="0" w:lastRowLastColumn="0"/>
            </w:pPr>
            <w:r w:rsidRPr="00987C39">
              <w:t>0.000001</w:t>
            </w:r>
            <w:r w:rsidR="00571B5D" w:rsidRPr="00FD6ED9">
              <w:t>***</w:t>
            </w:r>
          </w:p>
        </w:tc>
      </w:tr>
      <w:tr w:rsidR="00571B5D" w:rsidRPr="00DA709E" w14:paraId="4B5C92E6"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tcPr>
          <w:p w14:paraId="039FE206" w14:textId="73983C85" w:rsidR="00571B5D" w:rsidRPr="00BE47A3" w:rsidRDefault="00BE47A3" w:rsidP="004B0988">
            <w:pPr>
              <w:jc w:val="both"/>
              <w:rPr>
                <w:b w:val="0"/>
                <w:bCs w:val="0"/>
                <w:iCs/>
              </w:rPr>
            </w:pPr>
            <m:oMathPara>
              <m:oMathParaPr>
                <m:jc m:val="left"/>
              </m:oMathParaPr>
              <m:oMath>
                <m:r>
                  <m:rPr>
                    <m:sty m:val="b"/>
                  </m:rPr>
                  <w:rPr>
                    <w:rFonts w:ascii="Cambria Math" w:hAnsi="Cambria Math"/>
                  </w:rPr>
                  <m:t xml:space="preserve">Adjusted </m:t>
                </m:r>
                <m:sSup>
                  <m:sSupPr>
                    <m:ctrlPr>
                      <w:rPr>
                        <w:rFonts w:ascii="Cambria Math" w:eastAsiaTheme="minorEastAsia" w:hAnsi="Cambria Math"/>
                        <w:b w:val="0"/>
                        <w:bCs w:val="0"/>
                        <w:iCs/>
                      </w:rPr>
                    </m:ctrlPr>
                  </m:sSupPr>
                  <m:e>
                    <m:r>
                      <m:rPr>
                        <m:sty m:val="b"/>
                      </m:rPr>
                      <w:rPr>
                        <w:rFonts w:ascii="Cambria Math" w:hAnsi="Cambria Math"/>
                      </w:rPr>
                      <m:t>R</m:t>
                    </m:r>
                  </m:e>
                  <m:sup>
                    <m:r>
                      <m:rPr>
                        <m:sty m:val="b"/>
                      </m:rPr>
                      <w:rPr>
                        <w:rFonts w:ascii="Cambria Math" w:eastAsiaTheme="minorEastAsia" w:hAnsi="Cambria Math"/>
                      </w:rPr>
                      <m:t>2</m:t>
                    </m:r>
                  </m:sup>
                </m:sSup>
              </m:oMath>
            </m:oMathPara>
          </w:p>
        </w:tc>
        <w:tc>
          <w:tcPr>
            <w:tcW w:w="0" w:type="auto"/>
          </w:tcPr>
          <w:p w14:paraId="27AEBB60" w14:textId="2933B339" w:rsidR="00571B5D"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652507">
              <w:t>0.</w:t>
            </w:r>
            <w:r w:rsidR="00C60174">
              <w:t>65</w:t>
            </w:r>
          </w:p>
        </w:tc>
        <w:tc>
          <w:tcPr>
            <w:tcW w:w="0" w:type="auto"/>
          </w:tcPr>
          <w:p w14:paraId="75571861" w14:textId="1AFB6AF0"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652507">
              <w:t>0.</w:t>
            </w:r>
            <w:r w:rsidR="0025419A">
              <w:t>67</w:t>
            </w:r>
          </w:p>
        </w:tc>
        <w:tc>
          <w:tcPr>
            <w:tcW w:w="0" w:type="auto"/>
          </w:tcPr>
          <w:p w14:paraId="294F3E85" w14:textId="2CC40766"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652507">
              <w:t>0.</w:t>
            </w:r>
            <w:r w:rsidR="00F84219">
              <w:t>67</w:t>
            </w:r>
          </w:p>
        </w:tc>
        <w:tc>
          <w:tcPr>
            <w:tcW w:w="0" w:type="auto"/>
          </w:tcPr>
          <w:p w14:paraId="601E42C4" w14:textId="323C183F"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652507">
              <w:t>0.</w:t>
            </w:r>
            <w:r w:rsidR="009052FE">
              <w:t>68</w:t>
            </w:r>
          </w:p>
        </w:tc>
        <w:tc>
          <w:tcPr>
            <w:tcW w:w="0" w:type="auto"/>
          </w:tcPr>
          <w:p w14:paraId="03F439DD" w14:textId="17627E76" w:rsidR="00571B5D" w:rsidRPr="00DA709E" w:rsidRDefault="00571B5D" w:rsidP="004B0988">
            <w:pPr>
              <w:jc w:val="center"/>
              <w:cnfStyle w:val="000000000000" w:firstRow="0" w:lastRow="0" w:firstColumn="0" w:lastColumn="0" w:oddVBand="0" w:evenVBand="0" w:oddHBand="0" w:evenHBand="0" w:firstRowFirstColumn="0" w:firstRowLastColumn="0" w:lastRowFirstColumn="0" w:lastRowLastColumn="0"/>
            </w:pPr>
            <w:r w:rsidRPr="00652507">
              <w:t>0.</w:t>
            </w:r>
            <w:r w:rsidR="00C94F81">
              <w:t>68</w:t>
            </w:r>
          </w:p>
        </w:tc>
      </w:tr>
      <w:tr w:rsidR="00571B5D" w:rsidRPr="00DA709E" w14:paraId="3288D5F2" w14:textId="77777777" w:rsidTr="004B0988">
        <w:trPr>
          <w:cnfStyle w:val="000000100000" w:firstRow="0" w:lastRow="0" w:firstColumn="0" w:lastColumn="0" w:oddVBand="0" w:evenVBand="0" w:oddHBand="1" w:evenHBand="0" w:firstRowFirstColumn="0" w:firstRowLastColumn="0" w:lastRowFirstColumn="0" w:lastRowLastColumn="0"/>
          <w:trHeight w:val="165"/>
        </w:trPr>
        <w:tc>
          <w:tcPr>
            <w:cnfStyle w:val="001000000000" w:firstRow="0" w:lastRow="0" w:firstColumn="1" w:lastColumn="0" w:oddVBand="0" w:evenVBand="0" w:oddHBand="0" w:evenHBand="0" w:firstRowFirstColumn="0" w:firstRowLastColumn="0" w:lastRowFirstColumn="0" w:lastRowLastColumn="0"/>
            <w:tcW w:w="0" w:type="auto"/>
          </w:tcPr>
          <w:p w14:paraId="397C6390" w14:textId="27608379" w:rsidR="00571B5D" w:rsidRPr="00BE47A3" w:rsidRDefault="00BE47A3" w:rsidP="004B0988">
            <w:pPr>
              <w:jc w:val="both"/>
              <w:rPr>
                <w:b w:val="0"/>
                <w:bCs w:val="0"/>
                <w:iCs/>
              </w:rPr>
            </w:pPr>
            <m:oMathPara>
              <m:oMathParaPr>
                <m:jc m:val="left"/>
              </m:oMathParaPr>
              <m:oMath>
                <m:r>
                  <m:rPr>
                    <m:sty m:val="b"/>
                  </m:rPr>
                  <w:rPr>
                    <w:rFonts w:ascii="Cambria Math" w:hAnsi="Cambria Math"/>
                  </w:rPr>
                  <m:t xml:space="preserve">Within </m:t>
                </m:r>
                <m:sSup>
                  <m:sSupPr>
                    <m:ctrlPr>
                      <w:rPr>
                        <w:rFonts w:ascii="Cambria Math" w:eastAsiaTheme="minorEastAsia" w:hAnsi="Cambria Math"/>
                        <w:b w:val="0"/>
                        <w:bCs w:val="0"/>
                        <w:iCs/>
                      </w:rPr>
                    </m:ctrlPr>
                  </m:sSupPr>
                  <m:e>
                    <m:r>
                      <m:rPr>
                        <m:sty m:val="b"/>
                      </m:rPr>
                      <w:rPr>
                        <w:rFonts w:ascii="Cambria Math" w:hAnsi="Cambria Math"/>
                      </w:rPr>
                      <m:t>R</m:t>
                    </m:r>
                  </m:e>
                  <m:sup>
                    <m:r>
                      <m:rPr>
                        <m:sty m:val="b"/>
                      </m:rPr>
                      <w:rPr>
                        <w:rFonts w:ascii="Cambria Math" w:eastAsiaTheme="minorEastAsia" w:hAnsi="Cambria Math"/>
                      </w:rPr>
                      <m:t>2</m:t>
                    </m:r>
                  </m:sup>
                </m:sSup>
              </m:oMath>
            </m:oMathPara>
          </w:p>
        </w:tc>
        <w:tc>
          <w:tcPr>
            <w:tcW w:w="0" w:type="auto"/>
          </w:tcPr>
          <w:p w14:paraId="74045544" w14:textId="6A78322F" w:rsidR="00571B5D" w:rsidRPr="00652507"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21747A">
              <w:t>0.</w:t>
            </w:r>
            <w:r w:rsidR="00C60174">
              <w:t>13</w:t>
            </w:r>
          </w:p>
        </w:tc>
        <w:tc>
          <w:tcPr>
            <w:tcW w:w="0" w:type="auto"/>
          </w:tcPr>
          <w:p w14:paraId="6547F641" w14:textId="3845A5A1" w:rsidR="00571B5D" w:rsidRPr="00652507"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21747A">
              <w:t>0.</w:t>
            </w:r>
            <w:r w:rsidR="0025419A">
              <w:t>18</w:t>
            </w:r>
          </w:p>
        </w:tc>
        <w:tc>
          <w:tcPr>
            <w:tcW w:w="0" w:type="auto"/>
          </w:tcPr>
          <w:p w14:paraId="14BF12AD" w14:textId="20140AB3" w:rsidR="00571B5D" w:rsidRPr="00652507"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21747A">
              <w:t>0.</w:t>
            </w:r>
            <w:r w:rsidR="00F84219">
              <w:t>20</w:t>
            </w:r>
          </w:p>
        </w:tc>
        <w:tc>
          <w:tcPr>
            <w:tcW w:w="0" w:type="auto"/>
          </w:tcPr>
          <w:p w14:paraId="013C4261" w14:textId="3B23E76A" w:rsidR="00571B5D" w:rsidRPr="00652507"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21747A">
              <w:t>0.</w:t>
            </w:r>
            <w:r w:rsidR="009052FE">
              <w:t>21</w:t>
            </w:r>
          </w:p>
        </w:tc>
        <w:tc>
          <w:tcPr>
            <w:tcW w:w="0" w:type="auto"/>
          </w:tcPr>
          <w:p w14:paraId="7FCB3A4F" w14:textId="23658A60" w:rsidR="00571B5D" w:rsidRPr="00652507" w:rsidRDefault="00571B5D" w:rsidP="004B0988">
            <w:pPr>
              <w:jc w:val="center"/>
              <w:cnfStyle w:val="000000100000" w:firstRow="0" w:lastRow="0" w:firstColumn="0" w:lastColumn="0" w:oddVBand="0" w:evenVBand="0" w:oddHBand="1" w:evenHBand="0" w:firstRowFirstColumn="0" w:firstRowLastColumn="0" w:lastRowFirstColumn="0" w:lastRowLastColumn="0"/>
            </w:pPr>
            <w:r w:rsidRPr="0021747A">
              <w:t>0.</w:t>
            </w:r>
            <w:r w:rsidR="00C94F81">
              <w:t>22</w:t>
            </w:r>
          </w:p>
        </w:tc>
      </w:tr>
      <w:tr w:rsidR="00EE11D9" w:rsidRPr="00DA709E" w14:paraId="0D88439A" w14:textId="77777777" w:rsidTr="004B0988">
        <w:trPr>
          <w:trHeight w:val="165"/>
        </w:trPr>
        <w:tc>
          <w:tcPr>
            <w:cnfStyle w:val="001000000000" w:firstRow="0" w:lastRow="0" w:firstColumn="1" w:lastColumn="0" w:oddVBand="0" w:evenVBand="0" w:oddHBand="0" w:evenHBand="0" w:firstRowFirstColumn="0" w:firstRowLastColumn="0" w:lastRowFirstColumn="0" w:lastRowLastColumn="0"/>
            <w:tcW w:w="0" w:type="auto"/>
          </w:tcPr>
          <w:p w14:paraId="468483D9" w14:textId="77777777" w:rsidR="00EE11D9" w:rsidRPr="00BE47A3" w:rsidRDefault="00EE11D9" w:rsidP="00EE11D9">
            <w:pPr>
              <w:jc w:val="both"/>
              <w:rPr>
                <w:b w:val="0"/>
                <w:bCs w:val="0"/>
                <w:iCs/>
              </w:rPr>
            </w:pPr>
            <w:r w:rsidRPr="00BE47A3">
              <w:rPr>
                <w:b w:val="0"/>
                <w:bCs w:val="0"/>
                <w:iCs/>
              </w:rPr>
              <w:t>N</w:t>
            </w:r>
          </w:p>
        </w:tc>
        <w:tc>
          <w:tcPr>
            <w:tcW w:w="0" w:type="auto"/>
          </w:tcPr>
          <w:p w14:paraId="64C2FAFD" w14:textId="2F7893C7" w:rsidR="00EE11D9" w:rsidRDefault="00EE11D9" w:rsidP="00EE11D9">
            <w:pPr>
              <w:jc w:val="center"/>
              <w:cnfStyle w:val="000000000000" w:firstRow="0" w:lastRow="0" w:firstColumn="0" w:lastColumn="0" w:oddVBand="0" w:evenVBand="0" w:oddHBand="0" w:evenHBand="0" w:firstRowFirstColumn="0" w:firstRowLastColumn="0" w:lastRowFirstColumn="0" w:lastRowLastColumn="0"/>
            </w:pPr>
            <w:r>
              <w:t>16,116</w:t>
            </w:r>
          </w:p>
        </w:tc>
        <w:tc>
          <w:tcPr>
            <w:tcW w:w="0" w:type="auto"/>
          </w:tcPr>
          <w:p w14:paraId="2723AFFA" w14:textId="158141AD" w:rsidR="00EE11D9" w:rsidRPr="00DA709E" w:rsidRDefault="00EE11D9" w:rsidP="00EE11D9">
            <w:pPr>
              <w:jc w:val="center"/>
              <w:cnfStyle w:val="000000000000" w:firstRow="0" w:lastRow="0" w:firstColumn="0" w:lastColumn="0" w:oddVBand="0" w:evenVBand="0" w:oddHBand="0" w:evenHBand="0" w:firstRowFirstColumn="0" w:firstRowLastColumn="0" w:lastRowFirstColumn="0" w:lastRowLastColumn="0"/>
            </w:pPr>
            <w:r w:rsidRPr="00A25C12">
              <w:t>16,116</w:t>
            </w:r>
          </w:p>
        </w:tc>
        <w:tc>
          <w:tcPr>
            <w:tcW w:w="0" w:type="auto"/>
          </w:tcPr>
          <w:p w14:paraId="1F22CB29" w14:textId="03A4FBF5" w:rsidR="00EE11D9" w:rsidRPr="00DA709E" w:rsidRDefault="00EE11D9" w:rsidP="00EE11D9">
            <w:pPr>
              <w:jc w:val="center"/>
              <w:cnfStyle w:val="000000000000" w:firstRow="0" w:lastRow="0" w:firstColumn="0" w:lastColumn="0" w:oddVBand="0" w:evenVBand="0" w:oddHBand="0" w:evenHBand="0" w:firstRowFirstColumn="0" w:firstRowLastColumn="0" w:lastRowFirstColumn="0" w:lastRowLastColumn="0"/>
            </w:pPr>
            <w:r w:rsidRPr="00A25C12">
              <w:t>16,116</w:t>
            </w:r>
          </w:p>
        </w:tc>
        <w:tc>
          <w:tcPr>
            <w:tcW w:w="0" w:type="auto"/>
          </w:tcPr>
          <w:p w14:paraId="14D8A65C" w14:textId="3E8D4D8A" w:rsidR="00EE11D9" w:rsidRPr="00DA709E" w:rsidRDefault="00EE11D9" w:rsidP="00EE11D9">
            <w:pPr>
              <w:jc w:val="center"/>
              <w:cnfStyle w:val="000000000000" w:firstRow="0" w:lastRow="0" w:firstColumn="0" w:lastColumn="0" w:oddVBand="0" w:evenVBand="0" w:oddHBand="0" w:evenHBand="0" w:firstRowFirstColumn="0" w:firstRowLastColumn="0" w:lastRowFirstColumn="0" w:lastRowLastColumn="0"/>
            </w:pPr>
            <w:r w:rsidRPr="00A25C12">
              <w:t>16,116</w:t>
            </w:r>
          </w:p>
        </w:tc>
        <w:tc>
          <w:tcPr>
            <w:tcW w:w="0" w:type="auto"/>
          </w:tcPr>
          <w:p w14:paraId="5672CF51" w14:textId="52A79CF4" w:rsidR="00EE11D9" w:rsidRPr="00DA709E" w:rsidRDefault="00EE11D9" w:rsidP="00EE11D9">
            <w:pPr>
              <w:jc w:val="center"/>
              <w:cnfStyle w:val="000000000000" w:firstRow="0" w:lastRow="0" w:firstColumn="0" w:lastColumn="0" w:oddVBand="0" w:evenVBand="0" w:oddHBand="0" w:evenHBand="0" w:firstRowFirstColumn="0" w:firstRowLastColumn="0" w:lastRowFirstColumn="0" w:lastRowLastColumn="0"/>
            </w:pPr>
            <w:r w:rsidRPr="00A25C12">
              <w:t>16,116</w:t>
            </w:r>
          </w:p>
        </w:tc>
      </w:tr>
    </w:tbl>
    <w:p w14:paraId="3F961102" w14:textId="77777777" w:rsidR="00571B5D" w:rsidRDefault="00571B5D" w:rsidP="00571B5D">
      <w:pPr>
        <w:pStyle w:val="NoSpacing"/>
        <w:rPr>
          <w:sz w:val="22"/>
          <w:szCs w:val="22"/>
        </w:rPr>
      </w:pPr>
      <w:r w:rsidRPr="00804FAB">
        <w:rPr>
          <w:sz w:val="22"/>
          <w:szCs w:val="22"/>
        </w:rPr>
        <w:t xml:space="preserve">Source: </w:t>
      </w:r>
      <w:r>
        <w:rPr>
          <w:sz w:val="22"/>
          <w:szCs w:val="22"/>
        </w:rPr>
        <w:t xml:space="preserve">Authors’ calculations. </w:t>
      </w:r>
      <w:r w:rsidRPr="00804FAB">
        <w:rPr>
          <w:sz w:val="22"/>
          <w:szCs w:val="22"/>
        </w:rPr>
        <w:t xml:space="preserve"> </w:t>
      </w:r>
    </w:p>
    <w:p w14:paraId="258E44F7" w14:textId="561256F5" w:rsidR="006C333E" w:rsidRDefault="00571B5D" w:rsidP="009D4DB0">
      <w:pPr>
        <w:pStyle w:val="NoSpacing"/>
        <w:rPr>
          <w:sz w:val="22"/>
          <w:szCs w:val="22"/>
        </w:rPr>
      </w:pPr>
      <w:r>
        <w:rPr>
          <w:sz w:val="22"/>
          <w:szCs w:val="22"/>
        </w:rPr>
        <w:t xml:space="preserve">Note: </w:t>
      </w:r>
      <w:r w:rsidRPr="00EC7CA5">
        <w:rPr>
          <w:sz w:val="22"/>
          <w:szCs w:val="22"/>
        </w:rPr>
        <w:t>*** p &lt; 0.01, ** p &lt; 0.05, and * p &lt; 0.10</w:t>
      </w:r>
      <w:r>
        <w:rPr>
          <w:sz w:val="22"/>
          <w:szCs w:val="22"/>
        </w:rPr>
        <w:t>.</w:t>
      </w:r>
    </w:p>
    <w:p w14:paraId="04D22E7A" w14:textId="77777777" w:rsidR="00F4472A" w:rsidRDefault="00F4472A" w:rsidP="009D4DB0">
      <w:pPr>
        <w:pStyle w:val="NoSpacing"/>
        <w:rPr>
          <w:sz w:val="22"/>
          <w:szCs w:val="22"/>
        </w:rPr>
      </w:pPr>
    </w:p>
    <w:p w14:paraId="6EDB0343" w14:textId="157EEE0B" w:rsidR="0004580B" w:rsidRDefault="00E036FB" w:rsidP="00F4472A">
      <w:pPr>
        <w:ind w:firstLine="720"/>
        <w:jc w:val="both"/>
      </w:pPr>
      <w:r w:rsidRPr="00E036FB">
        <w:t>While the full five-year-lag model captures the overall effect of drought over multiple years, it is useful to compare coefficients with lower lag specifications to observe how the influence of drought evolves over time. Table 3 summarizes the regression results for models incorporating one to five lagged drought years. Each model evaluates the cumulative impact of drought conditions (represented by PC1) alongside other key variables.</w:t>
      </w:r>
    </w:p>
    <w:p w14:paraId="63190C1C" w14:textId="77777777" w:rsidR="0004580B" w:rsidRPr="00C95EBD" w:rsidRDefault="0004580B" w:rsidP="0004580B">
      <w:pPr>
        <w:pStyle w:val="NoSpacing"/>
        <w:rPr>
          <w:b/>
          <w:bCs/>
          <w:sz w:val="22"/>
          <w:szCs w:val="22"/>
        </w:rPr>
      </w:pPr>
      <w:r w:rsidRPr="00C95EBD">
        <w:rPr>
          <w:b/>
          <w:bCs/>
          <w:sz w:val="22"/>
          <w:szCs w:val="22"/>
        </w:rPr>
        <w:t xml:space="preserve">Table </w:t>
      </w:r>
      <w:r>
        <w:rPr>
          <w:b/>
          <w:bCs/>
          <w:sz w:val="22"/>
          <w:szCs w:val="22"/>
        </w:rPr>
        <w:t>3</w:t>
      </w:r>
      <w:r w:rsidRPr="00C95EBD">
        <w:rPr>
          <w:b/>
          <w:bCs/>
          <w:sz w:val="22"/>
          <w:szCs w:val="22"/>
        </w:rPr>
        <w:t>. Regression results for delayed drought effects</w:t>
      </w:r>
      <w:r>
        <w:rPr>
          <w:b/>
          <w:bCs/>
          <w:sz w:val="22"/>
          <w:szCs w:val="22"/>
        </w:rPr>
        <w:t>.</w:t>
      </w:r>
    </w:p>
    <w:tbl>
      <w:tblPr>
        <w:tblStyle w:val="PlainTable2"/>
        <w:tblW w:w="0" w:type="auto"/>
        <w:tblLook w:val="04A0" w:firstRow="1" w:lastRow="0" w:firstColumn="1" w:lastColumn="0" w:noHBand="0" w:noVBand="1"/>
      </w:tblPr>
      <w:tblGrid>
        <w:gridCol w:w="1374"/>
        <w:gridCol w:w="1316"/>
        <w:gridCol w:w="1316"/>
        <w:gridCol w:w="1316"/>
        <w:gridCol w:w="1316"/>
        <w:gridCol w:w="1476"/>
      </w:tblGrid>
      <w:tr w:rsidR="0004580B" w:rsidRPr="00CF3F77" w14:paraId="646B62F4" w14:textId="77777777" w:rsidTr="00813396">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2F2883B" w14:textId="77777777" w:rsidR="0004580B" w:rsidRPr="00CF3F77" w:rsidRDefault="0004580B" w:rsidP="00160360">
            <w:pPr>
              <w:rPr>
                <w:b w:val="0"/>
                <w:bCs w:val="0"/>
              </w:rPr>
            </w:pPr>
            <w:r w:rsidRPr="00CF3F77">
              <w:rPr>
                <w:b w:val="0"/>
                <w:bCs w:val="0"/>
              </w:rPr>
              <w:t>Variable</w:t>
            </w:r>
          </w:p>
        </w:tc>
        <w:tc>
          <w:tcPr>
            <w:tcW w:w="0" w:type="auto"/>
            <w:noWrap/>
            <w:hideMark/>
          </w:tcPr>
          <w:p w14:paraId="3D611527" w14:textId="77777777" w:rsidR="0004580B" w:rsidRPr="00CF3F77" w:rsidRDefault="0004580B" w:rsidP="00813396">
            <w:pPr>
              <w:jc w:val="center"/>
              <w:cnfStyle w:val="100000000000" w:firstRow="1" w:lastRow="0" w:firstColumn="0" w:lastColumn="0" w:oddVBand="0" w:evenVBand="0" w:oddHBand="0" w:evenHBand="0" w:firstRowFirstColumn="0" w:firstRowLastColumn="0" w:lastRowFirstColumn="0" w:lastRowLastColumn="0"/>
              <w:rPr>
                <w:b w:val="0"/>
                <w:bCs w:val="0"/>
              </w:rPr>
            </w:pPr>
            <w:r w:rsidRPr="00CF3F77">
              <w:rPr>
                <w:b w:val="0"/>
                <w:bCs w:val="0"/>
              </w:rPr>
              <w:t>1 Lag</w:t>
            </w:r>
          </w:p>
        </w:tc>
        <w:tc>
          <w:tcPr>
            <w:tcW w:w="0" w:type="auto"/>
            <w:noWrap/>
            <w:hideMark/>
          </w:tcPr>
          <w:p w14:paraId="50754B37" w14:textId="77777777" w:rsidR="0004580B" w:rsidRPr="00CF3F77" w:rsidRDefault="0004580B" w:rsidP="00813396">
            <w:pPr>
              <w:jc w:val="center"/>
              <w:cnfStyle w:val="100000000000" w:firstRow="1" w:lastRow="0" w:firstColumn="0" w:lastColumn="0" w:oddVBand="0" w:evenVBand="0" w:oddHBand="0" w:evenHBand="0" w:firstRowFirstColumn="0" w:firstRowLastColumn="0" w:lastRowFirstColumn="0" w:lastRowLastColumn="0"/>
              <w:rPr>
                <w:b w:val="0"/>
                <w:bCs w:val="0"/>
              </w:rPr>
            </w:pPr>
            <w:r w:rsidRPr="00CF3F77">
              <w:rPr>
                <w:b w:val="0"/>
                <w:bCs w:val="0"/>
              </w:rPr>
              <w:t>2 Lags</w:t>
            </w:r>
          </w:p>
        </w:tc>
        <w:tc>
          <w:tcPr>
            <w:tcW w:w="0" w:type="auto"/>
            <w:noWrap/>
            <w:hideMark/>
          </w:tcPr>
          <w:p w14:paraId="3ED352D9" w14:textId="77777777" w:rsidR="0004580B" w:rsidRPr="00CF3F77" w:rsidRDefault="0004580B" w:rsidP="00813396">
            <w:pPr>
              <w:jc w:val="center"/>
              <w:cnfStyle w:val="100000000000" w:firstRow="1" w:lastRow="0" w:firstColumn="0" w:lastColumn="0" w:oddVBand="0" w:evenVBand="0" w:oddHBand="0" w:evenHBand="0" w:firstRowFirstColumn="0" w:firstRowLastColumn="0" w:lastRowFirstColumn="0" w:lastRowLastColumn="0"/>
              <w:rPr>
                <w:b w:val="0"/>
                <w:bCs w:val="0"/>
              </w:rPr>
            </w:pPr>
            <w:r w:rsidRPr="00CF3F77">
              <w:rPr>
                <w:b w:val="0"/>
                <w:bCs w:val="0"/>
              </w:rPr>
              <w:t>3 Lags</w:t>
            </w:r>
          </w:p>
        </w:tc>
        <w:tc>
          <w:tcPr>
            <w:tcW w:w="0" w:type="auto"/>
            <w:noWrap/>
            <w:hideMark/>
          </w:tcPr>
          <w:p w14:paraId="4C1E2ED1" w14:textId="77777777" w:rsidR="0004580B" w:rsidRPr="00CF3F77" w:rsidRDefault="0004580B" w:rsidP="00813396">
            <w:pPr>
              <w:jc w:val="center"/>
              <w:cnfStyle w:val="100000000000" w:firstRow="1" w:lastRow="0" w:firstColumn="0" w:lastColumn="0" w:oddVBand="0" w:evenVBand="0" w:oddHBand="0" w:evenHBand="0" w:firstRowFirstColumn="0" w:firstRowLastColumn="0" w:lastRowFirstColumn="0" w:lastRowLastColumn="0"/>
              <w:rPr>
                <w:b w:val="0"/>
                <w:bCs w:val="0"/>
              </w:rPr>
            </w:pPr>
            <w:r w:rsidRPr="00CF3F77">
              <w:rPr>
                <w:b w:val="0"/>
                <w:bCs w:val="0"/>
              </w:rPr>
              <w:t>4 Lags</w:t>
            </w:r>
          </w:p>
        </w:tc>
        <w:tc>
          <w:tcPr>
            <w:tcW w:w="0" w:type="auto"/>
            <w:noWrap/>
            <w:hideMark/>
          </w:tcPr>
          <w:p w14:paraId="3CF6D58D" w14:textId="77777777" w:rsidR="0004580B" w:rsidRPr="00CF3F77" w:rsidRDefault="0004580B" w:rsidP="00813396">
            <w:pPr>
              <w:jc w:val="center"/>
              <w:cnfStyle w:val="100000000000" w:firstRow="1" w:lastRow="0" w:firstColumn="0" w:lastColumn="0" w:oddVBand="0" w:evenVBand="0" w:oddHBand="0" w:evenHBand="0" w:firstRowFirstColumn="0" w:firstRowLastColumn="0" w:lastRowFirstColumn="0" w:lastRowLastColumn="0"/>
              <w:rPr>
                <w:b w:val="0"/>
                <w:bCs w:val="0"/>
              </w:rPr>
            </w:pPr>
            <w:r w:rsidRPr="00CF3F77">
              <w:rPr>
                <w:b w:val="0"/>
                <w:bCs w:val="0"/>
              </w:rPr>
              <w:t>5 Lags</w:t>
            </w:r>
          </w:p>
        </w:tc>
      </w:tr>
      <w:tr w:rsidR="000E7E46" w:rsidRPr="00CF3F77" w14:paraId="38103989" w14:textId="77777777" w:rsidTr="0081339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06C01797" w14:textId="39337B67" w:rsidR="000E7E46" w:rsidRPr="00D72BB3" w:rsidRDefault="00000000" w:rsidP="000E7E46">
            <w:pPr>
              <w:rPr>
                <w:b w:val="0"/>
                <w:bCs w:val="0"/>
              </w:rPr>
            </w:pPr>
            <m:oMathPara>
              <m:oMathParaPr>
                <m:jc m:val="left"/>
              </m:oMathParaPr>
              <m:oMath>
                <m:sSub>
                  <m:sSubPr>
                    <m:ctrlPr>
                      <w:rPr>
                        <w:rFonts w:ascii="Cambria Math" w:hAnsi="Cambria Math"/>
                        <w:b w:val="0"/>
                        <w:bCs w:val="0"/>
                      </w:rPr>
                    </m:ctrlPr>
                  </m:sSubPr>
                  <m:e>
                    <m:r>
                      <w:rPr>
                        <w:rFonts w:ascii="Cambria Math" w:hAnsi="Cambria Math"/>
                      </w:rPr>
                      <m:t>PC1</m:t>
                    </m:r>
                  </m:e>
                  <m:sub>
                    <m:r>
                      <w:rPr>
                        <w:rFonts w:ascii="Cambria Math" w:hAnsi="Cambria Math"/>
                      </w:rPr>
                      <m:t>it</m:t>
                    </m:r>
                  </m:sub>
                </m:sSub>
              </m:oMath>
            </m:oMathPara>
          </w:p>
        </w:tc>
        <w:tc>
          <w:tcPr>
            <w:tcW w:w="0" w:type="auto"/>
            <w:noWrap/>
            <w:hideMark/>
          </w:tcPr>
          <w:p w14:paraId="1255B361" w14:textId="5CC50882" w:rsidR="000E7E46" w:rsidRPr="00CF3F77" w:rsidRDefault="00F30AC1" w:rsidP="000E7E46">
            <w:pPr>
              <w:jc w:val="center"/>
              <w:cnfStyle w:val="000000100000" w:firstRow="0" w:lastRow="0" w:firstColumn="0" w:lastColumn="0" w:oddVBand="0" w:evenVBand="0" w:oddHBand="1" w:evenHBand="0" w:firstRowFirstColumn="0" w:firstRowLastColumn="0" w:lastRowFirstColumn="0" w:lastRowLastColumn="0"/>
            </w:pPr>
            <w:r w:rsidRPr="00907EC1">
              <w:t>0.1538</w:t>
            </w:r>
            <w:r w:rsidR="000E7E46" w:rsidRPr="00CF3F77">
              <w:t xml:space="preserve">*** </w:t>
            </w:r>
          </w:p>
        </w:tc>
        <w:tc>
          <w:tcPr>
            <w:tcW w:w="0" w:type="auto"/>
            <w:noWrap/>
            <w:hideMark/>
          </w:tcPr>
          <w:p w14:paraId="7CCF5A90" w14:textId="5807A61B" w:rsidR="000E7E46" w:rsidRPr="00CF3F77" w:rsidRDefault="008445C3" w:rsidP="000E7E46">
            <w:pPr>
              <w:jc w:val="center"/>
              <w:cnfStyle w:val="000000100000" w:firstRow="0" w:lastRow="0" w:firstColumn="0" w:lastColumn="0" w:oddVBand="0" w:evenVBand="0" w:oddHBand="1" w:evenHBand="0" w:firstRowFirstColumn="0" w:firstRowLastColumn="0" w:lastRowFirstColumn="0" w:lastRowLastColumn="0"/>
            </w:pPr>
            <w:r w:rsidRPr="00B37AF8">
              <w:t>0.1572</w:t>
            </w:r>
            <w:r w:rsidR="000E7E46" w:rsidRPr="00CF3F77">
              <w:t xml:space="preserve">*** </w:t>
            </w:r>
          </w:p>
        </w:tc>
        <w:tc>
          <w:tcPr>
            <w:tcW w:w="0" w:type="auto"/>
            <w:noWrap/>
            <w:hideMark/>
          </w:tcPr>
          <w:p w14:paraId="39D24DB5" w14:textId="08F7C1BA" w:rsidR="000E7E46" w:rsidRPr="00CF3F77" w:rsidRDefault="00B400C9" w:rsidP="000E7E46">
            <w:pPr>
              <w:jc w:val="center"/>
              <w:cnfStyle w:val="000000100000" w:firstRow="0" w:lastRow="0" w:firstColumn="0" w:lastColumn="0" w:oddVBand="0" w:evenVBand="0" w:oddHBand="1" w:evenHBand="0" w:firstRowFirstColumn="0" w:firstRowLastColumn="0" w:lastRowFirstColumn="0" w:lastRowLastColumn="0"/>
            </w:pPr>
            <w:r w:rsidRPr="00B37AF8">
              <w:t>0.1692</w:t>
            </w:r>
            <w:r w:rsidR="000E7E46" w:rsidRPr="00CF3F77">
              <w:t>***</w:t>
            </w:r>
          </w:p>
        </w:tc>
        <w:tc>
          <w:tcPr>
            <w:tcW w:w="0" w:type="auto"/>
            <w:noWrap/>
            <w:hideMark/>
          </w:tcPr>
          <w:p w14:paraId="53FBFB49" w14:textId="799E4CAD" w:rsidR="000E7E46" w:rsidRPr="00CF3F77" w:rsidRDefault="00E729B1" w:rsidP="000E7E46">
            <w:pPr>
              <w:jc w:val="center"/>
              <w:cnfStyle w:val="000000100000" w:firstRow="0" w:lastRow="0" w:firstColumn="0" w:lastColumn="0" w:oddVBand="0" w:evenVBand="0" w:oddHBand="1" w:evenHBand="0" w:firstRowFirstColumn="0" w:firstRowLastColumn="0" w:lastRowFirstColumn="0" w:lastRowLastColumn="0"/>
            </w:pPr>
            <w:r w:rsidRPr="00B37AF8">
              <w:t>0.1656</w:t>
            </w:r>
            <w:r w:rsidR="000E7E46" w:rsidRPr="00CF3F77">
              <w:t xml:space="preserve">*** </w:t>
            </w:r>
          </w:p>
        </w:tc>
        <w:tc>
          <w:tcPr>
            <w:tcW w:w="0" w:type="auto"/>
            <w:noWrap/>
            <w:hideMark/>
          </w:tcPr>
          <w:p w14:paraId="04E3F3E5" w14:textId="4E9A7D26"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987C39">
              <w:t>0.153</w:t>
            </w:r>
            <w:r>
              <w:t>5</w:t>
            </w:r>
            <w:r w:rsidRPr="00380DC9">
              <w:t>*</w:t>
            </w:r>
            <w:r>
              <w:t>**</w:t>
            </w:r>
          </w:p>
        </w:tc>
      </w:tr>
      <w:tr w:rsidR="000E7E46" w:rsidRPr="00CF3F77" w14:paraId="2C9530F0" w14:textId="77777777" w:rsidTr="00813396">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7C1017" w14:textId="254B531A" w:rsidR="000E7E46" w:rsidRPr="00D72BB3" w:rsidRDefault="00000000" w:rsidP="000E7E46">
            <w:pPr>
              <w:rPr>
                <w:b w:val="0"/>
                <w:bCs w:val="0"/>
              </w:rPr>
            </w:pPr>
            <m:oMath>
              <m:sSub>
                <m:sSubPr>
                  <m:ctrlPr>
                    <w:rPr>
                      <w:rFonts w:ascii="Cambria Math" w:hAnsi="Cambria Math"/>
                      <w:b w:val="0"/>
                      <w:bCs w:val="0"/>
                    </w:rPr>
                  </m:ctrlPr>
                </m:sSubPr>
                <m:e>
                  <m:r>
                    <w:rPr>
                      <w:rFonts w:ascii="Cambria Math" w:hAnsi="Cambria Math"/>
                    </w:rPr>
                    <m:t>GDD</m:t>
                  </m:r>
                </m:e>
                <m:sub>
                  <m:r>
                    <w:rPr>
                      <w:rFonts w:ascii="Cambria Math" w:hAnsi="Cambria Math"/>
                    </w:rPr>
                    <m:t>it</m:t>
                  </m:r>
                </m:sub>
              </m:sSub>
            </m:oMath>
            <w:r w:rsidR="000E7E46" w:rsidRPr="00D72BB3">
              <w:rPr>
                <w:b w:val="0"/>
                <w:bCs w:val="0"/>
                <w:iCs/>
              </w:rPr>
              <w:t xml:space="preserve"> </w:t>
            </w:r>
          </w:p>
        </w:tc>
        <w:tc>
          <w:tcPr>
            <w:tcW w:w="0" w:type="auto"/>
            <w:noWrap/>
            <w:hideMark/>
          </w:tcPr>
          <w:p w14:paraId="6F821B98" w14:textId="1D7670BC" w:rsidR="000E7E46" w:rsidRPr="00CF3F77" w:rsidRDefault="00F30AC1" w:rsidP="000E7E46">
            <w:pPr>
              <w:jc w:val="center"/>
              <w:cnfStyle w:val="000000000000" w:firstRow="0" w:lastRow="0" w:firstColumn="0" w:lastColumn="0" w:oddVBand="0" w:evenVBand="0" w:oddHBand="0" w:evenHBand="0" w:firstRowFirstColumn="0" w:firstRowLastColumn="0" w:lastRowFirstColumn="0" w:lastRowLastColumn="0"/>
            </w:pPr>
            <w:r w:rsidRPr="00907EC1">
              <w:t>0.0100</w:t>
            </w:r>
            <w:r w:rsidR="000E7E46" w:rsidRPr="00CF3F77">
              <w:t xml:space="preserve">*** </w:t>
            </w:r>
          </w:p>
        </w:tc>
        <w:tc>
          <w:tcPr>
            <w:tcW w:w="0" w:type="auto"/>
            <w:noWrap/>
            <w:hideMark/>
          </w:tcPr>
          <w:p w14:paraId="6D697CDE" w14:textId="1A2B1856" w:rsidR="000E7E46" w:rsidRPr="00CF3F77" w:rsidRDefault="008445C3" w:rsidP="000E7E46">
            <w:pPr>
              <w:jc w:val="center"/>
              <w:cnfStyle w:val="000000000000" w:firstRow="0" w:lastRow="0" w:firstColumn="0" w:lastColumn="0" w:oddVBand="0" w:evenVBand="0" w:oddHBand="0" w:evenHBand="0" w:firstRowFirstColumn="0" w:firstRowLastColumn="0" w:lastRowFirstColumn="0" w:lastRowLastColumn="0"/>
            </w:pPr>
            <w:r w:rsidRPr="00B37AF8">
              <w:t>0.0111</w:t>
            </w:r>
            <w:r w:rsidR="000E7E46" w:rsidRPr="00CF3F77">
              <w:t xml:space="preserve">*** </w:t>
            </w:r>
          </w:p>
        </w:tc>
        <w:tc>
          <w:tcPr>
            <w:tcW w:w="0" w:type="auto"/>
            <w:noWrap/>
            <w:hideMark/>
          </w:tcPr>
          <w:p w14:paraId="02E84B03" w14:textId="1EBF6DFD" w:rsidR="000E7E46" w:rsidRPr="00CF3F77" w:rsidRDefault="00B400C9" w:rsidP="000E7E46">
            <w:pPr>
              <w:jc w:val="center"/>
              <w:cnfStyle w:val="000000000000" w:firstRow="0" w:lastRow="0" w:firstColumn="0" w:lastColumn="0" w:oddVBand="0" w:evenVBand="0" w:oddHBand="0" w:evenHBand="0" w:firstRowFirstColumn="0" w:firstRowLastColumn="0" w:lastRowFirstColumn="0" w:lastRowLastColumn="0"/>
            </w:pPr>
            <w:r w:rsidRPr="00B37AF8">
              <w:t>0.0110</w:t>
            </w:r>
            <w:r w:rsidR="000E7E46" w:rsidRPr="00CF3F77">
              <w:t xml:space="preserve">*** </w:t>
            </w:r>
          </w:p>
        </w:tc>
        <w:tc>
          <w:tcPr>
            <w:tcW w:w="0" w:type="auto"/>
            <w:noWrap/>
            <w:hideMark/>
          </w:tcPr>
          <w:p w14:paraId="24925708" w14:textId="2A5235DB" w:rsidR="000E7E46" w:rsidRPr="00CF3F77" w:rsidRDefault="00E729B1" w:rsidP="000E7E46">
            <w:pPr>
              <w:jc w:val="center"/>
              <w:cnfStyle w:val="000000000000" w:firstRow="0" w:lastRow="0" w:firstColumn="0" w:lastColumn="0" w:oddVBand="0" w:evenVBand="0" w:oddHBand="0" w:evenHBand="0" w:firstRowFirstColumn="0" w:firstRowLastColumn="0" w:lastRowFirstColumn="0" w:lastRowLastColumn="0"/>
            </w:pPr>
            <w:r w:rsidRPr="00B37AF8">
              <w:t>0.0111</w:t>
            </w:r>
            <w:r w:rsidR="000E7E46" w:rsidRPr="00CF3F77">
              <w:t xml:space="preserve">*** </w:t>
            </w:r>
          </w:p>
        </w:tc>
        <w:tc>
          <w:tcPr>
            <w:tcW w:w="0" w:type="auto"/>
            <w:noWrap/>
            <w:hideMark/>
          </w:tcPr>
          <w:p w14:paraId="1D219671" w14:textId="3BD6BB91" w:rsidR="000E7E46" w:rsidRPr="00CF3F77" w:rsidRDefault="000E7E46" w:rsidP="000E7E46">
            <w:pPr>
              <w:jc w:val="center"/>
              <w:cnfStyle w:val="000000000000" w:firstRow="0" w:lastRow="0" w:firstColumn="0" w:lastColumn="0" w:oddVBand="0" w:evenVBand="0" w:oddHBand="0" w:evenHBand="0" w:firstRowFirstColumn="0" w:firstRowLastColumn="0" w:lastRowFirstColumn="0" w:lastRowLastColumn="0"/>
            </w:pPr>
            <w:r w:rsidRPr="00987C39">
              <w:t>0.0113</w:t>
            </w:r>
            <w:r w:rsidRPr="005A395E">
              <w:t>***</w:t>
            </w:r>
          </w:p>
        </w:tc>
      </w:tr>
      <w:tr w:rsidR="000E7E46" w:rsidRPr="00CF3F77" w14:paraId="201E6FA4" w14:textId="77777777" w:rsidTr="0081339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2833064" w14:textId="4E17D992" w:rsidR="000E7E46" w:rsidRPr="00CF3F77" w:rsidRDefault="00000000" w:rsidP="000E7E46">
            <w:pPr>
              <w:rPr>
                <w:b w:val="0"/>
                <w:bCs w:val="0"/>
              </w:rPr>
            </w:pPr>
            <m:oMath>
              <m:sSub>
                <m:sSubPr>
                  <m:ctrlPr>
                    <w:rPr>
                      <w:rFonts w:ascii="Cambria Math" w:hAnsi="Cambria Math"/>
                      <w:b w:val="0"/>
                      <w:bCs w:val="0"/>
                    </w:rPr>
                  </m:ctrlPr>
                </m:sSubPr>
                <m:e>
                  <m:r>
                    <m:rPr>
                      <m:sty m:val="bi"/>
                    </m:rPr>
                    <w:rPr>
                      <w:rFonts w:ascii="Cambria Math" w:hAnsi="Cambria Math"/>
                    </w:rPr>
                    <m:t>EDD</m:t>
                  </m:r>
                </m:e>
                <m:sub>
                  <m:r>
                    <m:rPr>
                      <m:sty m:val="bi"/>
                    </m:rPr>
                    <w:rPr>
                      <w:rFonts w:ascii="Cambria Math" w:hAnsi="Cambria Math"/>
                    </w:rPr>
                    <m:t>it</m:t>
                  </m:r>
                </m:sub>
              </m:sSub>
            </m:oMath>
            <w:r w:rsidR="000E7E46" w:rsidRPr="00CF3F77">
              <w:rPr>
                <w:b w:val="0"/>
                <w:bCs w:val="0"/>
                <w:iCs/>
              </w:rPr>
              <w:t xml:space="preserve"> </w:t>
            </w:r>
          </w:p>
        </w:tc>
        <w:tc>
          <w:tcPr>
            <w:tcW w:w="0" w:type="auto"/>
            <w:noWrap/>
            <w:hideMark/>
          </w:tcPr>
          <w:p w14:paraId="2DE457ED" w14:textId="2F3EA81A" w:rsidR="000E7E46" w:rsidRPr="00CF3F77" w:rsidRDefault="00F30AC1" w:rsidP="000E7E46">
            <w:pPr>
              <w:jc w:val="center"/>
              <w:cnfStyle w:val="000000100000" w:firstRow="0" w:lastRow="0" w:firstColumn="0" w:lastColumn="0" w:oddVBand="0" w:evenVBand="0" w:oddHBand="1" w:evenHBand="0" w:firstRowFirstColumn="0" w:firstRowLastColumn="0" w:lastRowFirstColumn="0" w:lastRowLastColumn="0"/>
            </w:pPr>
            <w:r w:rsidRPr="00907EC1">
              <w:t>-0.0257</w:t>
            </w:r>
            <w:r w:rsidR="00907EC1" w:rsidRPr="00907EC1">
              <w:t>***</w:t>
            </w:r>
          </w:p>
        </w:tc>
        <w:tc>
          <w:tcPr>
            <w:tcW w:w="0" w:type="auto"/>
            <w:noWrap/>
            <w:hideMark/>
          </w:tcPr>
          <w:p w14:paraId="2C0DF2A5" w14:textId="15B3F9E9" w:rsidR="000E7E46" w:rsidRPr="00CF3F77" w:rsidRDefault="008445C3" w:rsidP="000E7E46">
            <w:pPr>
              <w:jc w:val="center"/>
              <w:cnfStyle w:val="000000100000" w:firstRow="0" w:lastRow="0" w:firstColumn="0" w:lastColumn="0" w:oddVBand="0" w:evenVBand="0" w:oddHBand="1" w:evenHBand="0" w:firstRowFirstColumn="0" w:firstRowLastColumn="0" w:lastRowFirstColumn="0" w:lastRowLastColumn="0"/>
            </w:pPr>
            <w:r w:rsidRPr="00B37AF8">
              <w:t>-0.0267</w:t>
            </w:r>
            <w:r w:rsidR="000E7E46" w:rsidRPr="00CF3F77">
              <w:t>*</w:t>
            </w:r>
            <w:r>
              <w:t>**</w:t>
            </w:r>
            <w:r w:rsidR="000E7E46" w:rsidRPr="00CF3F77">
              <w:t xml:space="preserve"> </w:t>
            </w:r>
          </w:p>
        </w:tc>
        <w:tc>
          <w:tcPr>
            <w:tcW w:w="0" w:type="auto"/>
            <w:noWrap/>
            <w:hideMark/>
          </w:tcPr>
          <w:p w14:paraId="2E226BB9" w14:textId="267F5CF5" w:rsidR="000E7E46" w:rsidRPr="00CF3F77" w:rsidRDefault="00B400C9" w:rsidP="000E7E46">
            <w:pPr>
              <w:jc w:val="center"/>
              <w:cnfStyle w:val="000000100000" w:firstRow="0" w:lastRow="0" w:firstColumn="0" w:lastColumn="0" w:oddVBand="0" w:evenVBand="0" w:oddHBand="1" w:evenHBand="0" w:firstRowFirstColumn="0" w:firstRowLastColumn="0" w:lastRowFirstColumn="0" w:lastRowLastColumn="0"/>
            </w:pPr>
            <w:r w:rsidRPr="00B37AF8">
              <w:t>-0.0260</w:t>
            </w:r>
            <w:r w:rsidR="000E7E46" w:rsidRPr="00CF3F77">
              <w:t>**</w:t>
            </w:r>
          </w:p>
        </w:tc>
        <w:tc>
          <w:tcPr>
            <w:tcW w:w="0" w:type="auto"/>
            <w:noWrap/>
            <w:hideMark/>
          </w:tcPr>
          <w:p w14:paraId="798B727E" w14:textId="5C5B1E8A" w:rsidR="000E7E46" w:rsidRPr="00CF3F77" w:rsidRDefault="00E729B1" w:rsidP="000E7E46">
            <w:pPr>
              <w:jc w:val="center"/>
              <w:cnfStyle w:val="000000100000" w:firstRow="0" w:lastRow="0" w:firstColumn="0" w:lastColumn="0" w:oddVBand="0" w:evenVBand="0" w:oddHBand="1" w:evenHBand="0" w:firstRowFirstColumn="0" w:firstRowLastColumn="0" w:lastRowFirstColumn="0" w:lastRowLastColumn="0"/>
            </w:pPr>
            <w:r w:rsidRPr="00B37AF8">
              <w:t>-0.0301</w:t>
            </w:r>
            <w:r w:rsidR="000E7E46" w:rsidRPr="00CF3F77">
              <w:t>***</w:t>
            </w:r>
          </w:p>
        </w:tc>
        <w:tc>
          <w:tcPr>
            <w:tcW w:w="0" w:type="auto"/>
            <w:noWrap/>
            <w:hideMark/>
          </w:tcPr>
          <w:p w14:paraId="75B44741" w14:textId="23417A41"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987C39">
              <w:t>-0.034</w:t>
            </w:r>
            <w:r>
              <w:t>8***</w:t>
            </w:r>
          </w:p>
        </w:tc>
      </w:tr>
      <w:tr w:rsidR="000E7E46" w:rsidRPr="00CF3F77" w14:paraId="40ABAF8B" w14:textId="77777777" w:rsidTr="00813396">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AADB720" w14:textId="73282775" w:rsidR="000E7E46" w:rsidRPr="00CF3F77" w:rsidRDefault="00000000" w:rsidP="000E7E46">
            <w:pPr>
              <w:rPr>
                <w:b w:val="0"/>
                <w:bCs w:val="0"/>
              </w:rPr>
            </w:pPr>
            <m:oMath>
              <m:sSub>
                <m:sSubPr>
                  <m:ctrlPr>
                    <w:rPr>
                      <w:rFonts w:ascii="Cambria Math" w:hAnsi="Cambria Math"/>
                    </w:rPr>
                  </m:ctrlPr>
                </m:sSubPr>
                <m:e>
                  <m:r>
                    <m:rPr>
                      <m:sty m:val="b"/>
                    </m:rPr>
                    <w:rPr>
                      <w:rFonts w:ascii="Cambria Math" w:hAnsi="Cambria Math"/>
                    </w:rPr>
                    <m:t>Hay stock</m:t>
                  </m:r>
                </m:e>
                <m:sub>
                  <m:r>
                    <m:rPr>
                      <m:sty m:val="bi"/>
                    </m:rPr>
                    <w:rPr>
                      <w:rFonts w:ascii="Cambria Math" w:hAnsi="Cambria Math"/>
                    </w:rPr>
                    <m:t>it</m:t>
                  </m:r>
                </m:sub>
              </m:sSub>
            </m:oMath>
            <w:r w:rsidR="000E7E46" w:rsidRPr="00CF3F77">
              <w:rPr>
                <w:b w:val="0"/>
                <w:bCs w:val="0"/>
                <w:iCs/>
              </w:rPr>
              <w:t xml:space="preserve"> </w:t>
            </w:r>
          </w:p>
        </w:tc>
        <w:tc>
          <w:tcPr>
            <w:tcW w:w="0" w:type="auto"/>
            <w:noWrap/>
            <w:hideMark/>
          </w:tcPr>
          <w:p w14:paraId="05572A95" w14:textId="7D31A351" w:rsidR="000E7E46" w:rsidRPr="00CF3F77" w:rsidRDefault="00E96AD2" w:rsidP="000E7E46">
            <w:pPr>
              <w:jc w:val="center"/>
              <w:cnfStyle w:val="000000000000" w:firstRow="0" w:lastRow="0" w:firstColumn="0" w:lastColumn="0" w:oddVBand="0" w:evenVBand="0" w:oddHBand="0" w:evenHBand="0" w:firstRowFirstColumn="0" w:firstRowLastColumn="0" w:lastRowFirstColumn="0" w:lastRowLastColumn="0"/>
            </w:pPr>
            <w:r w:rsidRPr="00907EC1">
              <w:t>-0.0044</w:t>
            </w:r>
            <w:r w:rsidR="000E7E46" w:rsidRPr="00CF3F77">
              <w:t xml:space="preserve">*** </w:t>
            </w:r>
          </w:p>
        </w:tc>
        <w:tc>
          <w:tcPr>
            <w:tcW w:w="0" w:type="auto"/>
            <w:noWrap/>
            <w:hideMark/>
          </w:tcPr>
          <w:p w14:paraId="7C095571" w14:textId="10F34C56" w:rsidR="000E7E46" w:rsidRPr="00CF3F77" w:rsidRDefault="008445C3" w:rsidP="000E7E46">
            <w:pPr>
              <w:jc w:val="center"/>
              <w:cnfStyle w:val="000000000000" w:firstRow="0" w:lastRow="0" w:firstColumn="0" w:lastColumn="0" w:oddVBand="0" w:evenVBand="0" w:oddHBand="0" w:evenHBand="0" w:firstRowFirstColumn="0" w:firstRowLastColumn="0" w:lastRowFirstColumn="0" w:lastRowLastColumn="0"/>
            </w:pPr>
            <w:r w:rsidRPr="00B37AF8">
              <w:t>-0.0042</w:t>
            </w:r>
            <w:r w:rsidR="000E7E46" w:rsidRPr="00CF3F77">
              <w:t xml:space="preserve">*** </w:t>
            </w:r>
          </w:p>
        </w:tc>
        <w:tc>
          <w:tcPr>
            <w:tcW w:w="0" w:type="auto"/>
            <w:noWrap/>
            <w:hideMark/>
          </w:tcPr>
          <w:p w14:paraId="0D1FBC8D" w14:textId="39F2A458" w:rsidR="000E7E46" w:rsidRPr="00CF3F77" w:rsidRDefault="00B400C9" w:rsidP="000E7E46">
            <w:pPr>
              <w:jc w:val="center"/>
              <w:cnfStyle w:val="000000000000" w:firstRow="0" w:lastRow="0" w:firstColumn="0" w:lastColumn="0" w:oddVBand="0" w:evenVBand="0" w:oddHBand="0" w:evenHBand="0" w:firstRowFirstColumn="0" w:firstRowLastColumn="0" w:lastRowFirstColumn="0" w:lastRowLastColumn="0"/>
            </w:pPr>
            <w:r w:rsidRPr="00B37AF8">
              <w:t>-0.0052</w:t>
            </w:r>
            <w:r w:rsidR="000E7E46" w:rsidRPr="00CF3F77">
              <w:t xml:space="preserve">*** </w:t>
            </w:r>
          </w:p>
        </w:tc>
        <w:tc>
          <w:tcPr>
            <w:tcW w:w="0" w:type="auto"/>
            <w:noWrap/>
            <w:hideMark/>
          </w:tcPr>
          <w:p w14:paraId="1591214D" w14:textId="24521DA2" w:rsidR="000E7E46" w:rsidRPr="00CF3F77" w:rsidRDefault="00E729B1" w:rsidP="000E7E46">
            <w:pPr>
              <w:jc w:val="center"/>
              <w:cnfStyle w:val="000000000000" w:firstRow="0" w:lastRow="0" w:firstColumn="0" w:lastColumn="0" w:oddVBand="0" w:evenVBand="0" w:oddHBand="0" w:evenHBand="0" w:firstRowFirstColumn="0" w:firstRowLastColumn="0" w:lastRowFirstColumn="0" w:lastRowLastColumn="0"/>
            </w:pPr>
            <w:r w:rsidRPr="00B37AF8">
              <w:t>-0.0047</w:t>
            </w:r>
            <w:r w:rsidR="000E7E46" w:rsidRPr="00CF3F77">
              <w:t xml:space="preserve">*** </w:t>
            </w:r>
          </w:p>
        </w:tc>
        <w:tc>
          <w:tcPr>
            <w:tcW w:w="0" w:type="auto"/>
            <w:noWrap/>
            <w:hideMark/>
          </w:tcPr>
          <w:p w14:paraId="7BB743A9" w14:textId="54CB2042" w:rsidR="000E7E46" w:rsidRPr="00CF3F77" w:rsidRDefault="000E7E46" w:rsidP="000E7E46">
            <w:pPr>
              <w:jc w:val="center"/>
              <w:cnfStyle w:val="000000000000" w:firstRow="0" w:lastRow="0" w:firstColumn="0" w:lastColumn="0" w:oddVBand="0" w:evenVBand="0" w:oddHBand="0" w:evenHBand="0" w:firstRowFirstColumn="0" w:firstRowLastColumn="0" w:lastRowFirstColumn="0" w:lastRowLastColumn="0"/>
            </w:pPr>
            <w:r w:rsidRPr="00987C39">
              <w:t>-0.005</w:t>
            </w:r>
            <w:r>
              <w:t>1</w:t>
            </w:r>
            <w:r w:rsidRPr="00845041">
              <w:t>***</w:t>
            </w:r>
          </w:p>
        </w:tc>
      </w:tr>
      <w:tr w:rsidR="000E7E46" w:rsidRPr="00CF3F77" w14:paraId="4449B809" w14:textId="77777777" w:rsidTr="0081339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7A38CC" w14:textId="235F93EB" w:rsidR="000E7E46" w:rsidRPr="00CF3F77" w:rsidRDefault="00000000" w:rsidP="000E7E46">
            <w:pPr>
              <w:rPr>
                <w:b w:val="0"/>
                <w:bCs w:val="0"/>
              </w:rPr>
            </w:pPr>
            <m:oMath>
              <m:sSubSup>
                <m:sSubSupPr>
                  <m:ctrlPr>
                    <w:rPr>
                      <w:rFonts w:ascii="Cambria Math" w:eastAsiaTheme="minorEastAsia" w:hAnsi="Cambria Math"/>
                      <w:b w:val="0"/>
                      <w:bCs w:val="0"/>
                      <w:iCs/>
                    </w:rPr>
                  </m:ctrlPr>
                </m:sSubSupPr>
                <m:e>
                  <m:r>
                    <m:rPr>
                      <m:sty m:val="b"/>
                    </m:rPr>
                    <w:rPr>
                      <w:rFonts w:ascii="Cambria Math" w:hAnsi="Cambria Math"/>
                    </w:rPr>
                    <m:t>Hay stock</m:t>
                  </m:r>
                </m:e>
                <m:sub>
                  <m:r>
                    <m:rPr>
                      <m:sty m:val="bi"/>
                    </m:rPr>
                    <w:rPr>
                      <w:rFonts w:ascii="Cambria Math" w:eastAsiaTheme="minorEastAsia" w:hAnsi="Cambria Math"/>
                    </w:rPr>
                    <m:t>it</m:t>
                  </m:r>
                </m:sub>
                <m:sup>
                  <m:r>
                    <m:rPr>
                      <m:sty m:val="bi"/>
                    </m:rPr>
                    <w:rPr>
                      <w:rFonts w:ascii="Cambria Math" w:eastAsiaTheme="minorEastAsia" w:hAnsi="Cambria Math"/>
                    </w:rPr>
                    <m:t>2</m:t>
                  </m:r>
                </m:sup>
              </m:sSubSup>
            </m:oMath>
            <w:r w:rsidR="000E7E46" w:rsidRPr="00CF3F77">
              <w:rPr>
                <w:b w:val="0"/>
                <w:bCs w:val="0"/>
                <w:iCs/>
              </w:rPr>
              <w:t xml:space="preserve"> </w:t>
            </w:r>
          </w:p>
        </w:tc>
        <w:tc>
          <w:tcPr>
            <w:tcW w:w="0" w:type="auto"/>
            <w:noWrap/>
            <w:hideMark/>
          </w:tcPr>
          <w:p w14:paraId="0CE1A0A9" w14:textId="5A49D61F"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CF3F77">
              <w:t xml:space="preserve">0.0000*** </w:t>
            </w:r>
          </w:p>
        </w:tc>
        <w:tc>
          <w:tcPr>
            <w:tcW w:w="0" w:type="auto"/>
            <w:noWrap/>
            <w:hideMark/>
          </w:tcPr>
          <w:p w14:paraId="46DD2FDD" w14:textId="4682F78E"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CF3F77">
              <w:t xml:space="preserve">0.0000*** </w:t>
            </w:r>
          </w:p>
        </w:tc>
        <w:tc>
          <w:tcPr>
            <w:tcW w:w="0" w:type="auto"/>
            <w:noWrap/>
            <w:hideMark/>
          </w:tcPr>
          <w:p w14:paraId="2E81FB2A" w14:textId="2C9784BF"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CF3F77">
              <w:t>0.0000***</w:t>
            </w:r>
          </w:p>
        </w:tc>
        <w:tc>
          <w:tcPr>
            <w:tcW w:w="0" w:type="auto"/>
            <w:noWrap/>
            <w:hideMark/>
          </w:tcPr>
          <w:p w14:paraId="4B8D57D8" w14:textId="7D478785"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CF3F77">
              <w:t xml:space="preserve">0.0000*** </w:t>
            </w:r>
          </w:p>
        </w:tc>
        <w:tc>
          <w:tcPr>
            <w:tcW w:w="0" w:type="auto"/>
            <w:noWrap/>
            <w:hideMark/>
          </w:tcPr>
          <w:p w14:paraId="086FCE4B" w14:textId="3B2BDD06" w:rsidR="000E7E46" w:rsidRPr="00CF3F77" w:rsidRDefault="000E7E46" w:rsidP="000E7E46">
            <w:pPr>
              <w:jc w:val="center"/>
              <w:cnfStyle w:val="000000100000" w:firstRow="0" w:lastRow="0" w:firstColumn="0" w:lastColumn="0" w:oddVBand="0" w:evenVBand="0" w:oddHBand="1" w:evenHBand="0" w:firstRowFirstColumn="0" w:firstRowLastColumn="0" w:lastRowFirstColumn="0" w:lastRowLastColumn="0"/>
            </w:pPr>
            <w:r w:rsidRPr="00987C39">
              <w:t>0.000001</w:t>
            </w:r>
            <w:r w:rsidRPr="00FD6ED9">
              <w:t>***</w:t>
            </w:r>
          </w:p>
        </w:tc>
      </w:tr>
    </w:tbl>
    <w:p w14:paraId="5C748BEB" w14:textId="77777777" w:rsidR="0004580B" w:rsidRDefault="0004580B" w:rsidP="0004580B">
      <w:pPr>
        <w:pStyle w:val="NoSpacing"/>
        <w:rPr>
          <w:sz w:val="22"/>
          <w:szCs w:val="22"/>
        </w:rPr>
      </w:pPr>
      <w:r w:rsidRPr="00804FAB">
        <w:rPr>
          <w:sz w:val="22"/>
          <w:szCs w:val="22"/>
        </w:rPr>
        <w:t xml:space="preserve">Source: </w:t>
      </w:r>
      <w:r>
        <w:rPr>
          <w:sz w:val="22"/>
          <w:szCs w:val="22"/>
        </w:rPr>
        <w:t xml:space="preserve">Authors’ calculations. </w:t>
      </w:r>
      <w:r w:rsidRPr="00804FAB">
        <w:rPr>
          <w:sz w:val="22"/>
          <w:szCs w:val="22"/>
        </w:rPr>
        <w:t xml:space="preserve"> </w:t>
      </w:r>
    </w:p>
    <w:p w14:paraId="777B9EE7" w14:textId="6356C417" w:rsidR="0004580B" w:rsidRDefault="0004580B" w:rsidP="00A41D22">
      <w:pPr>
        <w:pStyle w:val="NoSpacing"/>
        <w:rPr>
          <w:sz w:val="22"/>
          <w:szCs w:val="22"/>
        </w:rPr>
      </w:pPr>
      <w:r>
        <w:rPr>
          <w:sz w:val="22"/>
          <w:szCs w:val="22"/>
        </w:rPr>
        <w:t xml:space="preserve">Note: </w:t>
      </w:r>
      <w:r w:rsidRPr="00EC7CA5">
        <w:rPr>
          <w:sz w:val="22"/>
          <w:szCs w:val="22"/>
        </w:rPr>
        <w:t>*** p &lt; 0.01, ** p &lt; 0.05, and * p &lt; 0.10</w:t>
      </w:r>
      <w:r>
        <w:rPr>
          <w:sz w:val="22"/>
          <w:szCs w:val="22"/>
        </w:rPr>
        <w:t>.</w:t>
      </w:r>
    </w:p>
    <w:p w14:paraId="26D39C0D" w14:textId="77777777" w:rsidR="00A41D22" w:rsidRPr="00A41D22" w:rsidRDefault="00A41D22" w:rsidP="00A41D22">
      <w:pPr>
        <w:pStyle w:val="NoSpacing"/>
        <w:rPr>
          <w:sz w:val="22"/>
          <w:szCs w:val="22"/>
        </w:rPr>
      </w:pPr>
    </w:p>
    <w:p w14:paraId="6BC3E34C" w14:textId="77777777" w:rsidR="001C0174" w:rsidRDefault="00F63886" w:rsidP="00F63886">
      <w:pPr>
        <w:ind w:firstLine="720"/>
        <w:jc w:val="both"/>
      </w:pPr>
      <w:r w:rsidRPr="00F63886">
        <w:t>Across all specifications, the coefficient for the first principal component (PC1), which represents cumulative drought conditions, remains positive and statistically significant. This suggests that prolonged drought conditions consistently influence stocking rates over time. The consistency of these coefficients across lag specifications indicates that the effects of drought persist, rather than being limited to a single ye</w:t>
      </w:r>
      <w:r>
        <w:t>ar.</w:t>
      </w:r>
      <w:r w:rsidR="0004580B">
        <w:tab/>
      </w:r>
    </w:p>
    <w:p w14:paraId="6B6643ED" w14:textId="4DFFDCBB" w:rsidR="0004580B" w:rsidRPr="0072595B" w:rsidRDefault="00AF1196" w:rsidP="00F63886">
      <w:pPr>
        <w:ind w:firstLine="720"/>
        <w:jc w:val="both"/>
      </w:pPr>
      <w:r w:rsidRPr="00AF1196">
        <w:t>It is important to note that we cannot distinctly identify which specific year of drought contributes most to the observed effects, as our approach captures only the cumulative impact across multiple lagged years. Nevertheless, the findings strongly indicate that lagged drought effects exist and significantly influence grazing systems. However, to fully understand the role of individual years and their contributions to the cumulative impact, future studies must address these gaps. Collecting more granular annual data on stocking rates, as well as additional contextual variables, would help disentangle the effects of specific drought years.</w:t>
      </w:r>
    </w:p>
    <w:p w14:paraId="13F531B4" w14:textId="77777777" w:rsidR="006C333E" w:rsidRDefault="006C333E" w:rsidP="006C333E">
      <w:pPr>
        <w:pStyle w:val="Heading2"/>
      </w:pPr>
      <w:r w:rsidRPr="00E53520">
        <w:t>Stocking rate projections</w:t>
      </w:r>
    </w:p>
    <w:p w14:paraId="5EAA2AD4" w14:textId="77777777" w:rsidR="00BB33F2" w:rsidRDefault="00BB33F2" w:rsidP="00BB33F2">
      <w:r>
        <w:t>This study utilizes climate projection data from the Multivariate Adaptive Constructed Analogs (MACA) dataset to estimate future stocking rates under Representative Concentration Pathways (RCP) 4.5 and 8.5, as part of the Coupled Model Intercomparison Project Phase 5 (CMIP5) (Multivariate Adaptive Constructed 2024). The MACA dataset provides high-resolution (4-km grid) downscaled climate data, aggregated at the county level across the United States.</w:t>
      </w:r>
    </w:p>
    <w:p w14:paraId="7D6D4822" w14:textId="476C61F6" w:rsidR="00BB33F2" w:rsidRDefault="00BB33F2" w:rsidP="00BB33F2">
      <w:pPr>
        <w:ind w:firstLine="720"/>
      </w:pPr>
      <w:r>
        <w:t xml:space="preserve">RCP 4.5 represents a stabilization scenario in which radiative forcing is stabilized at 4.5 W/m² by 2100 through mitigation measures. In contrast, RCP 8.5 follows a high-emissions, “business-as-usual” trajectory, leading to radiative forcing of 8.5 W/m² (Multivariate Adaptive Constructed 2024). The weather variables analyzed include monthly precipitation, minimum temperature, and maximum temperature from 2020 to 2099, which were processed to derive agroclimatic indices relevant to forage growth and livestock productivity. It is important to note that MACA provides downscaled climate projections for individual Global Climate Models </w:t>
      </w:r>
      <w:r>
        <w:lastRenderedPageBreak/>
        <w:t>(GCMs) but does not generate multiple realizations (ensemble members) for each model. Each GCM within the MACA dataset is based on a single realization (typically r1i1p1), meaning that projections reflect model-specific climate trajectories rather than the ensemble-based uncertainties that would otherwise be captured through multiple realizations.</w:t>
      </w:r>
    </w:p>
    <w:p w14:paraId="7681AB23" w14:textId="7FFE278E" w:rsidR="00DF62EA" w:rsidRDefault="00BB33F2" w:rsidP="00BB33F2">
      <w:pPr>
        <w:ind w:firstLine="720"/>
      </w:pPr>
      <w:r>
        <w:t>To enhance the robustness of projections, this study incorporates multiple GCMs to account for inter-model variability in climate projections. By averaging projected stocking rates across several GCMs, we aim to reduce model-specific noise and improve the reliability of long-term stocking rate estimates. Comparing RCP 4.5 and RCP 8.5 scenarios allows for an assessment of future stocking rate dynamics under different climate change trajectories. The results provide insights into how climate mitigation efforts (RCP 4.5) versus a high-emissions scenario (RCP 8.5) may influence forage availability and grazing capacity. These projections can inform adaptive grazing management strategies and policy interventions to enhance the resilience of livestock systems in a changing climate.</w:t>
      </w:r>
      <w:r w:rsidR="00DF62EA" w:rsidRPr="00DF62EA">
        <w:rPr>
          <w:noProof/>
        </w:rPr>
        <w:drawing>
          <wp:inline distT="0" distB="0" distL="0" distR="0" wp14:anchorId="3102FEE8" wp14:editId="3193411F">
            <wp:extent cx="4753726" cy="3345892"/>
            <wp:effectExtent l="0" t="0" r="0" b="0"/>
            <wp:docPr id="647131072" name="Picture 1" descr="A graph showing the growth of the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31072" name="Picture 1" descr="A graph showing the growth of the stock market&#10;&#10;AI-generated content may be incorrect."/>
                    <pic:cNvPicPr/>
                  </pic:nvPicPr>
                  <pic:blipFill>
                    <a:blip r:embed="rId13"/>
                    <a:stretch>
                      <a:fillRect/>
                    </a:stretch>
                  </pic:blipFill>
                  <pic:spPr>
                    <a:xfrm>
                      <a:off x="0" y="0"/>
                      <a:ext cx="4757186" cy="3348327"/>
                    </a:xfrm>
                    <a:prstGeom prst="rect">
                      <a:avLst/>
                    </a:prstGeom>
                  </pic:spPr>
                </pic:pic>
              </a:graphicData>
            </a:graphic>
          </wp:inline>
        </w:drawing>
      </w:r>
    </w:p>
    <w:p w14:paraId="67F62926" w14:textId="04FCD9FB" w:rsidR="006C333E" w:rsidRPr="00FC43A6" w:rsidRDefault="006C333E" w:rsidP="006C333E">
      <w:pPr>
        <w:pStyle w:val="NoSpacing"/>
        <w:rPr>
          <w:b/>
          <w:bCs/>
          <w:sz w:val="22"/>
          <w:szCs w:val="22"/>
        </w:rPr>
      </w:pPr>
      <w:r w:rsidRPr="00FC43A6">
        <w:rPr>
          <w:b/>
          <w:bCs/>
          <w:sz w:val="22"/>
          <w:szCs w:val="22"/>
        </w:rPr>
        <w:t xml:space="preserve">Figure </w:t>
      </w:r>
      <w:r w:rsidR="00DF62EA">
        <w:rPr>
          <w:b/>
          <w:bCs/>
          <w:sz w:val="22"/>
          <w:szCs w:val="22"/>
        </w:rPr>
        <w:t>2</w:t>
      </w:r>
      <w:r w:rsidRPr="00FC43A6">
        <w:rPr>
          <w:b/>
          <w:bCs/>
          <w:sz w:val="22"/>
          <w:szCs w:val="22"/>
        </w:rPr>
        <w:t xml:space="preserve">. Projected </w:t>
      </w:r>
      <w:r w:rsidR="00316598">
        <w:rPr>
          <w:b/>
          <w:bCs/>
          <w:sz w:val="22"/>
          <w:szCs w:val="22"/>
        </w:rPr>
        <w:t xml:space="preserve">cattle </w:t>
      </w:r>
      <w:r w:rsidRPr="00FC43A6">
        <w:rPr>
          <w:b/>
          <w:bCs/>
          <w:sz w:val="22"/>
          <w:szCs w:val="22"/>
        </w:rPr>
        <w:t>stocking rates (2020-2099).</w:t>
      </w:r>
    </w:p>
    <w:p w14:paraId="69957643" w14:textId="4FE70B2F" w:rsidR="006C333E" w:rsidRPr="00A134D7" w:rsidRDefault="006C333E" w:rsidP="006C333E">
      <w:pPr>
        <w:pStyle w:val="NoSpacing"/>
        <w:rPr>
          <w:sz w:val="22"/>
          <w:szCs w:val="22"/>
        </w:rPr>
      </w:pPr>
      <w:r w:rsidRPr="00A134D7">
        <w:rPr>
          <w:sz w:val="22"/>
          <w:szCs w:val="22"/>
        </w:rPr>
        <w:t xml:space="preserve">Source: </w:t>
      </w:r>
      <w:r>
        <w:rPr>
          <w:sz w:val="22"/>
          <w:szCs w:val="22"/>
        </w:rPr>
        <w:t>MACA weather projections</w:t>
      </w:r>
    </w:p>
    <w:p w14:paraId="25E6D1EA" w14:textId="77777777" w:rsidR="006C333E" w:rsidRDefault="006C333E" w:rsidP="006C333E"/>
    <w:p w14:paraId="13CEC277" w14:textId="77777777" w:rsidR="00B91A37" w:rsidRDefault="006C333E" w:rsidP="00B91A37">
      <w:r>
        <w:tab/>
      </w:r>
      <w:r w:rsidR="00B91A37">
        <w:t xml:space="preserve">Figure 2 illustrates the projected cattle stocking rates across the United States from 2020 to 2099 under the RCP 4.5 and RCP 8.5 climate scenarios, based on multiple General Circulation </w:t>
      </w:r>
      <w:r w:rsidR="00B91A37">
        <w:lastRenderedPageBreak/>
        <w:t>Models (GCMs). The trends in stocking rates exhibit notable differences between the two scenarios, reflecting the varying impacts of climate change on grazing systems.</w:t>
      </w:r>
    </w:p>
    <w:p w14:paraId="6E4D47EE" w14:textId="77777777" w:rsidR="00B91A37" w:rsidRDefault="00B91A37" w:rsidP="00B91A37">
      <w:pPr>
        <w:ind w:firstLine="720"/>
      </w:pPr>
      <w:r>
        <w:t>Stocking rates under RCP 4.5 (blue) show a clear long-term decreasing trend despite periodic fluctuations. While the initial years maintain relatively higher stocking rates, a noticeable decline occurs over the century, particularly in the latter half. This suggests that even under a moderate mitigation scenario, climate change still imposes stress on forage availability and livestock productivity. However, the rates do not decline as sharply as in RCP 8.5, indicating some level of resilience due to stabilized radiative forcing.</w:t>
      </w:r>
    </w:p>
    <w:p w14:paraId="56AC068E" w14:textId="77777777" w:rsidR="00B91A37" w:rsidRDefault="00B91A37" w:rsidP="00B91A37">
      <w:pPr>
        <w:ind w:firstLine="720"/>
      </w:pPr>
      <w:r>
        <w:t>In contrast, RCP 8.5 (red) demonstrates a more pronounced decline in stocking rates earlier in the century, aligning with expectations of more extreme climate conditions under high emissions. However, an interesting reversal occurs toward the end of the century, with a visible increase in stocking rates. This unexpected late-century uptick could be attributed to regional climate shifts, changes in precipitation patterns, or model variability influencing forage conditions.</w:t>
      </w:r>
    </w:p>
    <w:p w14:paraId="3C5331C4" w14:textId="55DBC7AA" w:rsidR="00882602" w:rsidRDefault="00882602" w:rsidP="00B91A37">
      <w:pPr>
        <w:pStyle w:val="Heading1"/>
      </w:pPr>
      <w:r w:rsidRPr="007245FD">
        <w:t>Discussions</w:t>
      </w:r>
    </w:p>
    <w:p w14:paraId="0B4E88EA" w14:textId="77777777" w:rsidR="00B91A37" w:rsidRPr="00320326" w:rsidRDefault="00B91A37" w:rsidP="00320326">
      <w:pPr>
        <w:ind w:firstLine="720"/>
      </w:pPr>
      <w:r w:rsidRPr="00B91A37">
        <w:t>The results of this study provide valuable insights into the complex relationships between climate variability, hay stock, and cattle stocking rates. Our findings confirm that both favorable and extreme weather conditions, along with forage availability, play a critical role in determining the stocking capacity of pastureland. These results align with prior studies that have identified climate as a key driver of grazing management decisions (Klemm and Briske, 2019; Mu et al., 2013). However, this study adds specificity by quantifying the direct effects of water deficits, temperature extremes, and forage availability on stocking rates.</w:t>
      </w:r>
    </w:p>
    <w:p w14:paraId="5366EC79" w14:textId="77777777" w:rsidR="00B91A37" w:rsidRDefault="00B91A37" w:rsidP="00320326">
      <w:pPr>
        <w:ind w:firstLine="720"/>
      </w:pPr>
      <w:r w:rsidRPr="00B91A37">
        <w:t>Furthermore, the findings resonate with the conclusions of Rodziewicz et al. (2023), who observed that extreme weather conditions often lead to herd reductions and economic strain on ranchers. While the established literature highlights the general impact of climate variability on livestock production, this study provides additional nuance by examining the persistence of these effects over time through lagged drought variables. The inclusion of multiple GCMs strengthens the robustness of these findings, ensuring that the projected impacts on stocking rates reflect a range of plausible climate futures.</w:t>
      </w:r>
    </w:p>
    <w:p w14:paraId="4EF4E7E0" w14:textId="77777777" w:rsidR="00C540BD" w:rsidRDefault="00747805" w:rsidP="00C540BD">
      <w:pPr>
        <w:ind w:firstLine="720"/>
      </w:pPr>
      <w:r w:rsidRPr="00747805">
        <w:lastRenderedPageBreak/>
        <w:t>A particularly notable trend observed in the analysis is the long-term decline in stocking rates under both RCP 4.5 and RCP 8.5 scenarios. The decline under RCP 4.5 suggests that even with mitigation efforts, climate stressors will continue to challenge grazing systems. Meanwhile, the more pronounced early-century declines under RCP 8.5 highlight the risks associated with extreme climate conditions under a high-emissions trajectory. The unexpected late-century increase in stocking rates under RCP 8.5 may indicate potential shifts in precipitation regimes, temperature fluctuations, or model-specific variability that temporarily improve forage conditions in certain regions. These findings emphasize the need for adaptive grazing strategies and proactive policy interventions to mitigate the risks associated with climate change.</w:t>
      </w:r>
    </w:p>
    <w:p w14:paraId="04019528" w14:textId="77777777" w:rsidR="00C540BD" w:rsidRDefault="00882602" w:rsidP="00C540BD">
      <w:pPr>
        <w:pStyle w:val="Heading2"/>
      </w:pPr>
      <w:r>
        <w:t>Policy implications</w:t>
      </w:r>
    </w:p>
    <w:p w14:paraId="03C5FCEE" w14:textId="77777777" w:rsidR="00C540BD" w:rsidRDefault="00C540BD" w:rsidP="00C540BD">
      <w:r w:rsidRPr="00C540BD">
        <w:t>The findings of this study reinforce the importance of adaptive grazing practices that account for delayed drought impacts. Policies should incentivize ranchers to adopt strategies such as flexible stocking rates, rotational grazing, and pasture resting periods, which can help mitigate long-term pasture degradation and support recovery after drought events. Providing financial incentives or technical assistance for ranchers who implement these practices can help bridge the gap between short-term economic pressures and long-term sustainability goals.</w:t>
      </w:r>
    </w:p>
    <w:p w14:paraId="4ED8F015" w14:textId="77777777" w:rsidR="00C540BD" w:rsidRDefault="00C540BD" w:rsidP="00C540BD">
      <w:pPr>
        <w:ind w:firstLine="720"/>
      </w:pPr>
      <w:r w:rsidRPr="00C540BD">
        <w:t>Programs like the USDA’s Livestock Forage Disaster Program (LFP) have demonstrated their value in mitigating the immediate economic impacts of drought on ranchers. However, projections indicate that with increasing drought frequency and intensity under the high-emissions RCP 8.5 scenario, federal expenditures on such programs are likely to rise significantly. Policymakers should consider refining eligibility criteria and payment structures to enhance the program's fiscal sustainability while ensuring that assistance reaches the most affected regions. Additionally, integrating disaster assistance programs with broader climate adaptation frameworks, including early-warning systems and localized weather projections, can further strengthen the resilience of livestock systems.</w:t>
      </w:r>
    </w:p>
    <w:p w14:paraId="1BE3AE75" w14:textId="77777777" w:rsidR="00C540BD" w:rsidRDefault="00C540BD" w:rsidP="00C540BD">
      <w:pPr>
        <w:ind w:firstLine="720"/>
      </w:pPr>
      <w:r w:rsidRPr="00C540BD">
        <w:t xml:space="preserve">Another key area for policy intervention is the management of forage and hay stocks. This study highlights the diminishing marginal returns of hay stock during prolonged drought periods, emphasizing the need for efficient hay management practices. Policymakers should incentivize investments in hay storage infrastructure, forage improvement programs, and market mechanisms to stabilize hay prices. These measures can help reduce the economic burden on </w:t>
      </w:r>
      <w:r w:rsidRPr="00C540BD">
        <w:lastRenderedPageBreak/>
        <w:t>ranchers and prevent overreliance on supplemental feeding, which is often unsustainable during prolonged drought conditions.</w:t>
      </w:r>
    </w:p>
    <w:p w14:paraId="417FB7FA" w14:textId="77777777" w:rsidR="00C540BD" w:rsidRDefault="00C540BD" w:rsidP="00C540BD">
      <w:pPr>
        <w:ind w:firstLine="720"/>
      </w:pPr>
      <w:r w:rsidRPr="00C540BD">
        <w:t>Overall, these findings underscore the necessity of proactive climate adaptation strategies in the livestock sector. As climate variability continues to pose challenges for grazing systems, policy-driven investments in sustainable rangeland management, climate forecasting, and economic support mechanisms will be crucial to ensuring the long-term viability of livestock production.</w:t>
      </w:r>
    </w:p>
    <w:p w14:paraId="4497A592" w14:textId="77777777" w:rsidR="00C540BD" w:rsidRDefault="00C540BD" w:rsidP="00C540BD"/>
    <w:p w14:paraId="64C49E0B" w14:textId="6A34C21C" w:rsidR="00975A77" w:rsidRDefault="00C540BD" w:rsidP="00C540BD">
      <w:pPr>
        <w:pStyle w:val="Heading1"/>
      </w:pPr>
      <w:r>
        <w:t>Conclusion</w:t>
      </w:r>
    </w:p>
    <w:p w14:paraId="7D3D32F4" w14:textId="77777777" w:rsidR="00C3503A" w:rsidRDefault="00C3503A" w:rsidP="00C3503A">
      <w:r>
        <w:br w:type="page"/>
      </w:r>
    </w:p>
    <w:p w14:paraId="0EB33181" w14:textId="31C2121A" w:rsidR="00BF6A80" w:rsidRDefault="00C3503A" w:rsidP="00C3503A">
      <w:pPr>
        <w:pStyle w:val="Heading1"/>
      </w:pPr>
      <w:r>
        <w:lastRenderedPageBreak/>
        <w:t>Reference</w:t>
      </w:r>
    </w:p>
    <w:p w14:paraId="47A65769" w14:textId="77777777" w:rsidR="00126D5B" w:rsidRPr="00126D5B" w:rsidRDefault="00126D5B" w:rsidP="00126D5B">
      <w:pPr>
        <w:ind w:left="360" w:hanging="360"/>
      </w:pPr>
      <w:r w:rsidRPr="00126D5B">
        <w:t>Palmer, Wayne C., and A. Vaughn Havens. "A Graphical Technique for Determining Evapotranspiration by the Thornthwaite Method." </w:t>
      </w:r>
      <w:r w:rsidRPr="00126D5B">
        <w:rPr>
          <w:i/>
          <w:iCs/>
        </w:rPr>
        <w:t>Monthly Weather Review</w:t>
      </w:r>
      <w:r w:rsidRPr="00126D5B">
        <w:t> 86, no. 4 (1958): 123-128. </w:t>
      </w:r>
      <w:hyperlink r:id="rId14" w:history="1">
        <w:r w:rsidRPr="00126D5B">
          <w:rPr>
            <w:rStyle w:val="Hyperlink"/>
          </w:rPr>
          <w:t>https://ion.sdsu.edu/onlinethornthwaitereference.pdf</w:t>
        </w:r>
      </w:hyperlink>
      <w:r w:rsidRPr="00126D5B">
        <w:t>.</w:t>
      </w:r>
    </w:p>
    <w:p w14:paraId="53744331" w14:textId="77777777" w:rsidR="00126D5B" w:rsidRPr="00126D5B" w:rsidRDefault="00126D5B" w:rsidP="00126D5B">
      <w:pPr>
        <w:ind w:left="360" w:hanging="360"/>
      </w:pPr>
      <w:r w:rsidRPr="00126D5B">
        <w:t>Prasad, P. V. V., S. A. Staggenborg, and Z. Ristic. “Impacts of Drought and/or Heat Stress on Physiological, Developmental, Growth, and Yield Processes of Crop Plants.” </w:t>
      </w:r>
      <w:r w:rsidRPr="00126D5B">
        <w:rPr>
          <w:i/>
          <w:iCs/>
        </w:rPr>
        <w:t>Advances in Agricultural Systems Modeling</w:t>
      </w:r>
      <w:r w:rsidRPr="00126D5B">
        <w:t>, Chapter 11. Madison, WI: American Society of Agronomy, 2008. https://doi.org/10.2134/advagricsystmodel1.c11.</w:t>
      </w:r>
    </w:p>
    <w:p w14:paraId="2E4285CB" w14:textId="77777777" w:rsidR="00126D5B" w:rsidRPr="00126D5B" w:rsidRDefault="00126D5B" w:rsidP="00126D5B">
      <w:pPr>
        <w:ind w:left="360" w:hanging="360"/>
      </w:pPr>
      <w:r w:rsidRPr="00126D5B">
        <w:t>PRISM Climate Group, Oregon State University. </w:t>
      </w:r>
      <w:r w:rsidRPr="00126D5B">
        <w:rPr>
          <w:i/>
          <w:iCs/>
        </w:rPr>
        <w:t>PRISM Gridded Climate Data</w:t>
      </w:r>
      <w:r w:rsidRPr="00126D5B">
        <w:t xml:space="preserve">. Accessed October 1, </w:t>
      </w:r>
      <w:hyperlink r:id="rId15" w:history="1">
        <w:r w:rsidRPr="00126D5B">
          <w:rPr>
            <w:rStyle w:val="Hyperlink"/>
          </w:rPr>
          <w:t>http://prism.oregonstate.edu</w:t>
        </w:r>
      </w:hyperlink>
      <w:r w:rsidRPr="00126D5B">
        <w:t>.</w:t>
      </w:r>
    </w:p>
    <w:p w14:paraId="4913922A" w14:textId="77777777" w:rsidR="00126D5B" w:rsidRPr="00126D5B" w:rsidRDefault="00126D5B" w:rsidP="00126D5B">
      <w:pPr>
        <w:ind w:left="360" w:hanging="360"/>
      </w:pPr>
      <w:r w:rsidRPr="00126D5B">
        <w:t>Redfearn, Daren D., and Terrence G. Bidwell. "Stocking Rate: The Key to Successful Livestock Production." </w:t>
      </w:r>
      <w:r w:rsidRPr="00126D5B">
        <w:rPr>
          <w:i/>
          <w:iCs/>
        </w:rPr>
        <w:t>OSU Extension</w:t>
      </w:r>
      <w:r w:rsidRPr="00126D5B">
        <w:t>, Oklahoma State University. Accessed October 2, 2024. </w:t>
      </w:r>
      <w:hyperlink r:id="rId16" w:tgtFrame="_new" w:history="1">
        <w:r w:rsidRPr="00126D5B">
          <w:rPr>
            <w:rStyle w:val="Hyperlink"/>
          </w:rPr>
          <w:t>https://extension.okstate.edu/fact-sheets/stocking-rate-the-key-to-successful-livestock-production.html</w:t>
        </w:r>
      </w:hyperlink>
      <w:r w:rsidRPr="00126D5B">
        <w:t>.</w:t>
      </w:r>
    </w:p>
    <w:p w14:paraId="0EDB31CC" w14:textId="77777777" w:rsidR="00126D5B" w:rsidRPr="00126D5B" w:rsidRDefault="00126D5B" w:rsidP="00126D5B">
      <w:pPr>
        <w:ind w:left="360" w:hanging="360"/>
      </w:pPr>
      <w:r w:rsidRPr="00126D5B">
        <w:t xml:space="preserve">Ritten, J. P., Frasier, W. M., Bastian, C. T., &amp; Gray, S. T. (2010). Optimal Rangeland Stocking Decisions Under Stochastic and Climate‐Impacted Weather. </w:t>
      </w:r>
      <w:r w:rsidRPr="00126D5B">
        <w:rPr>
          <w:i/>
          <w:iCs/>
        </w:rPr>
        <w:t>American Journal of Agricultural Economics, 92</w:t>
      </w:r>
      <w:r w:rsidRPr="00126D5B">
        <w:t xml:space="preserve">(4), 1242–1255. </w:t>
      </w:r>
    </w:p>
    <w:p w14:paraId="0A121F1A" w14:textId="77777777" w:rsidR="00126D5B" w:rsidRPr="00126D5B" w:rsidRDefault="00126D5B" w:rsidP="00126D5B">
      <w:pPr>
        <w:ind w:left="360" w:hanging="360"/>
      </w:pPr>
      <w:r w:rsidRPr="00126D5B">
        <w:t>Rodziewicz, David, Jacob Dice, and Cortney Cowley. "Drought and Cattle: Implications for Ranchers." </w:t>
      </w:r>
      <w:r w:rsidRPr="00126D5B">
        <w:rPr>
          <w:i/>
          <w:iCs/>
        </w:rPr>
        <w:t>Federal Reserve Bank of Kansas City</w:t>
      </w:r>
      <w:r w:rsidRPr="00126D5B">
        <w:t>, June 2, 2023. </w:t>
      </w:r>
      <w:hyperlink r:id="rId17" w:tgtFrame="_new" w:history="1">
        <w:r w:rsidRPr="00126D5B">
          <w:rPr>
            <w:rStyle w:val="Hyperlink"/>
          </w:rPr>
          <w:t>https://doi.org/10.18651/RWP2023-06</w:t>
        </w:r>
      </w:hyperlink>
      <w:r w:rsidRPr="00126D5B">
        <w:t>.</w:t>
      </w:r>
    </w:p>
    <w:p w14:paraId="743FE090" w14:textId="77777777" w:rsidR="00126D5B" w:rsidRPr="00126D5B" w:rsidRDefault="00126D5B" w:rsidP="00126D5B">
      <w:pPr>
        <w:ind w:left="360" w:hanging="360"/>
      </w:pPr>
      <w:r w:rsidRPr="00126D5B">
        <w:t>Schlenker, Wolfram, and Michael J. Roberts. "Nonlinear Temperature Effects Indicate Severe Damages to U.S. Crop Yields under Climate Change." </w:t>
      </w:r>
      <w:r w:rsidRPr="00126D5B">
        <w:rPr>
          <w:i/>
          <w:iCs/>
        </w:rPr>
        <w:t>Proceedings of the National Academy of Sciences</w:t>
      </w:r>
      <w:r w:rsidRPr="00126D5B">
        <w:t> 106, no. 37 (2009): 15594-15598. </w:t>
      </w:r>
      <w:hyperlink r:id="rId18" w:anchor="8203;:contentReference[oaicite:0]{index=0}" w:history="1">
        <w:r w:rsidRPr="00126D5B">
          <w:rPr>
            <w:rStyle w:val="Hyperlink"/>
          </w:rPr>
          <w:t>https://doi.org/10.1073/pnas.0906865106&amp;#8203;:contentReference[oaicite:0]{index=0}</w:t>
        </w:r>
      </w:hyperlink>
      <w:r w:rsidRPr="00126D5B">
        <w:t>.</w:t>
      </w:r>
    </w:p>
    <w:p w14:paraId="5196F663" w14:textId="77777777" w:rsidR="00126D5B" w:rsidRPr="00126D5B" w:rsidRDefault="00126D5B" w:rsidP="00126D5B">
      <w:pPr>
        <w:ind w:left="360" w:hanging="360"/>
      </w:pPr>
      <w:r w:rsidRPr="00126D5B">
        <w:t xml:space="preserve">Smart, A. J., Derner, J. D., Hendrickson, J. R., Gillen, R. L., Dunn, B. H., Mousel, E. M., ... &amp; Olsen, K. C. (2010). Effects of grazing pressure on efficiency of grazing on North American Great Plains rangelands. Rangeland Ecology &amp; Management, 63(4), 397-406. </w:t>
      </w:r>
    </w:p>
    <w:p w14:paraId="27771A65" w14:textId="77777777" w:rsidR="00126D5B" w:rsidRPr="00126D5B" w:rsidRDefault="00126D5B" w:rsidP="00126D5B">
      <w:pPr>
        <w:ind w:left="360" w:hanging="360"/>
      </w:pPr>
      <w:r w:rsidRPr="00126D5B">
        <w:t>Srivastava, Aman, and Rajib Maity. “Unveiling an Environmental Drought Index and Its Applicability in the Perspective of Drought Recognition Amidst Climate Change.” </w:t>
      </w:r>
      <w:r w:rsidRPr="00126D5B">
        <w:rPr>
          <w:i/>
          <w:iCs/>
        </w:rPr>
        <w:t>Journal of Hydrology</w:t>
      </w:r>
      <w:r w:rsidRPr="00126D5B">
        <w:t> 627 (2023): 130462. </w:t>
      </w:r>
      <w:hyperlink r:id="rId19" w:tgtFrame="_new" w:history="1">
        <w:r w:rsidRPr="00126D5B">
          <w:t>https://doi.org/10.1016/j.jhydrol.2023.130462</w:t>
        </w:r>
      </w:hyperlink>
      <w:r w:rsidRPr="00126D5B">
        <w:t>.</w:t>
      </w:r>
    </w:p>
    <w:p w14:paraId="1F3C53C9" w14:textId="77777777" w:rsidR="00126D5B" w:rsidRPr="00126D5B" w:rsidRDefault="00126D5B" w:rsidP="00126D5B"/>
    <w:p w14:paraId="6866F73F" w14:textId="77777777" w:rsidR="00126D5B" w:rsidRPr="00126D5B" w:rsidRDefault="00126D5B" w:rsidP="00126D5B">
      <w:pPr>
        <w:ind w:left="360" w:hanging="360"/>
      </w:pPr>
      <w:r w:rsidRPr="00126D5B">
        <w:t xml:space="preserve">U.S. Department of Agriculture. </w:t>
      </w:r>
      <w:r w:rsidRPr="00126D5B">
        <w:rPr>
          <w:i/>
          <w:iCs/>
        </w:rPr>
        <w:t xml:space="preserve">Census of Agriculture Historical Archive. </w:t>
      </w:r>
      <w:r w:rsidRPr="00126D5B">
        <w:t>Accessed October 1, 2024.</w:t>
      </w:r>
      <w:r w:rsidRPr="00126D5B">
        <w:rPr>
          <w:i/>
          <w:iCs/>
        </w:rPr>
        <w:t xml:space="preserve"> </w:t>
      </w:r>
      <w:hyperlink r:id="rId20" w:anchor=":~:text=Search%20Census%20Archive&amp;text=The%20USDA%20Census%20of%20Agriculture,all%20historical%20agricultural%20census%20publications" w:history="1">
        <w:r w:rsidRPr="00126D5B">
          <w:rPr>
            <w:rStyle w:val="Hyperlink"/>
          </w:rPr>
          <w:t>https://agcensus.library.cornell.edu/#:~:text=Search%20Census%20Archive&amp;text=The%20USDA%20Census%20of%20Agriculture,all%20historical%20agricultural%20census%20publications</w:t>
        </w:r>
      </w:hyperlink>
      <w:r w:rsidRPr="00126D5B">
        <w:t>.</w:t>
      </w:r>
    </w:p>
    <w:p w14:paraId="512812B0" w14:textId="77777777" w:rsidR="00126D5B" w:rsidRPr="00126D5B" w:rsidRDefault="00126D5B" w:rsidP="00126D5B">
      <w:pPr>
        <w:ind w:left="360" w:hanging="360"/>
      </w:pPr>
      <w:r w:rsidRPr="00126D5B">
        <w:t xml:space="preserve">U.S. Department of Agriculture. </w:t>
      </w:r>
      <w:r w:rsidRPr="00126D5B">
        <w:rPr>
          <w:i/>
          <w:iCs/>
        </w:rPr>
        <w:t>National Agricultural Statistics Service (NASS) Quick Stats</w:t>
      </w:r>
      <w:r w:rsidRPr="00126D5B">
        <w:t>. Accessed October 3, 2024. </w:t>
      </w:r>
      <w:hyperlink r:id="rId21" w:history="1">
        <w:r w:rsidRPr="00126D5B">
          <w:rPr>
            <w:rStyle w:val="Hyperlink"/>
          </w:rPr>
          <w:t>https://quickstats.nass.usda.gov/</w:t>
        </w:r>
      </w:hyperlink>
      <w:r w:rsidRPr="00126D5B">
        <w:t>.</w:t>
      </w:r>
    </w:p>
    <w:p w14:paraId="0961CBDF" w14:textId="77777777" w:rsidR="00126D5B" w:rsidRDefault="00126D5B" w:rsidP="00126D5B">
      <w:pPr>
        <w:ind w:left="360" w:hanging="360"/>
      </w:pPr>
      <w:r w:rsidRPr="00126D5B">
        <w:t xml:space="preserve">Zhou G., and Wang Q. “A new nonlinear method for calculating growing degree days.” </w:t>
      </w:r>
      <w:r w:rsidRPr="00126D5B">
        <w:rPr>
          <w:i/>
          <w:iCs/>
        </w:rPr>
        <w:t>Sci Rep. 2018 Jul 5</w:t>
      </w:r>
      <w:r w:rsidRPr="00126D5B">
        <w:t>;8(1):10149. doi: 10.1038/s41598-018-28392-z. PMID: 29977001; PMCID: PMC6033920.</w:t>
      </w:r>
    </w:p>
    <w:p w14:paraId="6E3D810F" w14:textId="3D497F53" w:rsidR="006F6004" w:rsidRPr="00BF48A3" w:rsidRDefault="006F6004" w:rsidP="006F6004"/>
    <w:p w14:paraId="6F8545F2" w14:textId="77777777" w:rsidR="00E45717" w:rsidRDefault="00E45717" w:rsidP="00E45717"/>
    <w:p w14:paraId="38E43B36" w14:textId="77777777" w:rsidR="00B662A9" w:rsidRPr="005D7316" w:rsidRDefault="00B662A9" w:rsidP="00B662A9"/>
    <w:p w14:paraId="1F0979F2" w14:textId="32A43FB0" w:rsidR="0001107B" w:rsidRPr="003F7A74" w:rsidRDefault="0001107B" w:rsidP="003F7A74"/>
    <w:sectPr w:rsidR="0001107B" w:rsidRPr="003F7A74" w:rsidSect="00CB0F7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hara Akat" w:date="2024-11-19T19:54:00Z" w:initials="SA">
    <w:p w14:paraId="072ED403" w14:textId="2D6BD4D4" w:rsidR="004E2C13" w:rsidRDefault="004E2C13" w:rsidP="004E2C13">
      <w:r>
        <w:rPr>
          <w:rStyle w:val="CommentReference"/>
        </w:rPr>
        <w:annotationRef/>
      </w:r>
      <w:r>
        <w:rPr>
          <w:color w:val="000000"/>
          <w:sz w:val="20"/>
          <w:szCs w:val="20"/>
        </w:rPr>
        <w:t>5 here IS NOT related to # months we choose (it’s from Thornthwaite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2ED4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4191BF2" w16cex:dateUtc="2024-11-20T01: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2ED403" w16cid:durableId="04191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2BC0C" w14:textId="77777777" w:rsidR="005C0C97" w:rsidRDefault="005C0C97" w:rsidP="00305A46">
      <w:pPr>
        <w:spacing w:line="240" w:lineRule="auto"/>
      </w:pPr>
      <w:r>
        <w:separator/>
      </w:r>
    </w:p>
  </w:endnote>
  <w:endnote w:type="continuationSeparator" w:id="0">
    <w:p w14:paraId="6DD794F6" w14:textId="77777777" w:rsidR="005C0C97" w:rsidRDefault="005C0C97" w:rsidP="00305A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06252C" w14:textId="77777777" w:rsidR="005C0C97" w:rsidRDefault="005C0C97" w:rsidP="00305A46">
      <w:pPr>
        <w:spacing w:line="240" w:lineRule="auto"/>
      </w:pPr>
      <w:r>
        <w:separator/>
      </w:r>
    </w:p>
  </w:footnote>
  <w:footnote w:type="continuationSeparator" w:id="0">
    <w:p w14:paraId="07D60DF3" w14:textId="77777777" w:rsidR="005C0C97" w:rsidRDefault="005C0C97" w:rsidP="00305A46">
      <w:pPr>
        <w:spacing w:line="240" w:lineRule="auto"/>
      </w:pPr>
      <w:r>
        <w:continuationSeparator/>
      </w:r>
    </w:p>
  </w:footnote>
  <w:footnote w:id="1">
    <w:p w14:paraId="2A881DE8" w14:textId="77777777" w:rsidR="004E2C13" w:rsidRDefault="004E2C13" w:rsidP="004E2C13">
      <w:pPr>
        <w:pStyle w:val="FootnoteText"/>
      </w:pPr>
      <w:r>
        <w:rPr>
          <w:rStyle w:val="FootnoteReference"/>
        </w:rPr>
        <w:footnoteRef/>
      </w:r>
      <w:r>
        <w:t xml:space="preserve"> </w:t>
      </w:r>
      <w:r w:rsidRPr="00C859AB">
        <w:t>The Census of Agriculture reports come out every 5 years.</w:t>
      </w:r>
    </w:p>
  </w:footnote>
  <w:footnote w:id="2">
    <w:p w14:paraId="42F00434" w14:textId="6A1EDEC0" w:rsidR="004E2C13" w:rsidRDefault="004E2C13" w:rsidP="004E2C13">
      <w:pPr>
        <w:pStyle w:val="FootnoteText"/>
      </w:pPr>
      <w:r>
        <w:rPr>
          <w:rStyle w:val="FootnoteReference"/>
        </w:rPr>
        <w:footnoteRef/>
      </w:r>
      <w:r>
        <w:t xml:space="preserve"> </w:t>
      </w:r>
      <w:r w:rsidRPr="00A31FB6">
        <w:t>For example, suppose a pasture is used to graze 50 animals, each weighing 1,200 pounds, for six months. Assuming a standard AU represents 1,000 pounds, each animal equates to 1.2</w:t>
      </w:r>
      <w:r w:rsidR="00455918">
        <w:t xml:space="preserve"> </w:t>
      </w:r>
      <w:r w:rsidRPr="00A31FB6">
        <w:t>AUs.</w:t>
      </w:r>
      <w:r>
        <w:t xml:space="preserve"> </w:t>
      </w:r>
      <w:r w:rsidRPr="00D7096C">
        <w:t>If the pastureland is 100 acres, the stocking rate</w:t>
      </w:r>
      <w:r>
        <w:t xml:space="preserve"> is </w:t>
      </w:r>
      <w:r w:rsidRPr="00D7096C">
        <w:t>3.6</w:t>
      </w:r>
      <w:r>
        <w:t xml:space="preserve"> </w:t>
      </w:r>
      <w:r w:rsidRPr="00D7096C">
        <w:t>AU</w:t>
      </w:r>
      <w:r>
        <w:t>M</w:t>
      </w:r>
      <w:r w:rsidRPr="00D7096C">
        <w:t>s per acre</w:t>
      </w:r>
      <w:r>
        <w:t xml:space="preserve">. </w:t>
      </w:r>
    </w:p>
  </w:footnote>
  <w:footnote w:id="3">
    <w:p w14:paraId="4039662A" w14:textId="77777777" w:rsidR="004E2C13" w:rsidRDefault="004E2C13" w:rsidP="004E2C13">
      <w:pPr>
        <w:pStyle w:val="FootnoteText"/>
      </w:pPr>
      <w:r>
        <w:rPr>
          <w:rStyle w:val="FootnoteReference"/>
        </w:rPr>
        <w:footnoteRef/>
      </w:r>
      <w:r>
        <w:t xml:space="preserve"> </w:t>
      </w:r>
      <w:r w:rsidRPr="003F4660">
        <w:rPr>
          <w:bCs/>
          <w:color w:val="000000"/>
          <w:shd w:val="clear" w:color="auto" w:fill="FFFFFF"/>
        </w:rPr>
        <w:t>Regions are grouped based on shared geography, climate, and agriculture. The Lake States (Michigan, Wisconsin, Minnesota) focus on dairy and forage, while the Corn Belt (Iowa, Illinois, Indiana, Ohio, Missouri) leads in grain and livestock feed. The Northern and Southern Plains emphasize beef cattle, with differences in grazing and irrigation. The Delta States and Southeast combine crop cultivation and cattle operations, while Appalachia supports small-scale farming. The Northeast features diversified farming and dairy, the Mountain region specializes in large-scale grazing, and the Pacific excels in diverse, high-value agriculture, with California pivotal for irrigated forage and beef cattle production. These regional adaptations highlight the diversity of U.S. agriculture.</w:t>
      </w:r>
    </w:p>
  </w:footnote>
  <w:footnote w:id="4">
    <w:p w14:paraId="6DBCE60A" w14:textId="55A4DC97" w:rsidR="000A742A" w:rsidRDefault="000A742A">
      <w:pPr>
        <w:pStyle w:val="FootnoteText"/>
      </w:pPr>
      <w:r>
        <w:rPr>
          <w:rStyle w:val="FootnoteReference"/>
        </w:rPr>
        <w:footnoteRef/>
      </w:r>
      <w:r>
        <w:t xml:space="preserve"> </w:t>
      </w:r>
      <w:r w:rsidRPr="000A742A">
        <w:t>The logarithmic transformation of the stocking rate is applied primarily for two reasons. First, it allows for the interpretation of explanatory variable effects in percentage terms, making results more intuitive and comparable. Second, it helps address potential heteroskedasticity by stabilizing variance, particularly when the dependent variable exhibits a right-skewed distribution. Additionally, the log transformation can be useful when the relationship between stocking rates and explanatory variables is multiplicative rather than additive.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0605A"/>
    <w:multiLevelType w:val="hybridMultilevel"/>
    <w:tmpl w:val="FEC45E86"/>
    <w:lvl w:ilvl="0" w:tplc="0D8CF30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56E35"/>
    <w:multiLevelType w:val="hybridMultilevel"/>
    <w:tmpl w:val="5D1E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15F50"/>
    <w:multiLevelType w:val="hybridMultilevel"/>
    <w:tmpl w:val="3FE6CFFE"/>
    <w:lvl w:ilvl="0" w:tplc="E66693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ED7039"/>
    <w:multiLevelType w:val="hybridMultilevel"/>
    <w:tmpl w:val="4E22BE66"/>
    <w:lvl w:ilvl="0" w:tplc="B860F04C">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1D2918"/>
    <w:multiLevelType w:val="hybridMultilevel"/>
    <w:tmpl w:val="511E74BA"/>
    <w:lvl w:ilvl="0" w:tplc="E7FEA6C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A475E3"/>
    <w:multiLevelType w:val="hybridMultilevel"/>
    <w:tmpl w:val="91806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605481"/>
    <w:multiLevelType w:val="hybridMultilevel"/>
    <w:tmpl w:val="2E3C3962"/>
    <w:lvl w:ilvl="0" w:tplc="BF1C1EA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A33046"/>
    <w:multiLevelType w:val="multilevel"/>
    <w:tmpl w:val="53229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FE3D30"/>
    <w:multiLevelType w:val="hybridMultilevel"/>
    <w:tmpl w:val="2D241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F24AA9"/>
    <w:multiLevelType w:val="multilevel"/>
    <w:tmpl w:val="DF847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013844">
    <w:abstractNumId w:val="5"/>
  </w:num>
  <w:num w:numId="2" w16cid:durableId="1650211016">
    <w:abstractNumId w:val="9"/>
  </w:num>
  <w:num w:numId="3" w16cid:durableId="1210000086">
    <w:abstractNumId w:val="8"/>
  </w:num>
  <w:num w:numId="4" w16cid:durableId="1377513144">
    <w:abstractNumId w:val="1"/>
  </w:num>
  <w:num w:numId="5" w16cid:durableId="1418362711">
    <w:abstractNumId w:val="0"/>
  </w:num>
  <w:num w:numId="6" w16cid:durableId="2061632700">
    <w:abstractNumId w:val="6"/>
  </w:num>
  <w:num w:numId="7" w16cid:durableId="1107502694">
    <w:abstractNumId w:val="3"/>
  </w:num>
  <w:num w:numId="8" w16cid:durableId="132715336">
    <w:abstractNumId w:val="2"/>
  </w:num>
  <w:num w:numId="9" w16cid:durableId="892934221">
    <w:abstractNumId w:val="4"/>
  </w:num>
  <w:num w:numId="10" w16cid:durableId="168847996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hara Akat">
    <w15:presenceInfo w15:providerId="AD" w15:userId="S::sakat2@unl.edu::434a281e-84dc-47ec-b82d-f60a122f27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xMjE3NTCwNDEws7BU0lEKTi0uzszPAykwNKgFAKldWCQtAAAA"/>
  </w:docVars>
  <w:rsids>
    <w:rsidRoot w:val="00634B34"/>
    <w:rsid w:val="000014A6"/>
    <w:rsid w:val="0000247A"/>
    <w:rsid w:val="000028C7"/>
    <w:rsid w:val="000030B5"/>
    <w:rsid w:val="00003837"/>
    <w:rsid w:val="00003B50"/>
    <w:rsid w:val="000064A9"/>
    <w:rsid w:val="000069F9"/>
    <w:rsid w:val="00006AF2"/>
    <w:rsid w:val="000074D9"/>
    <w:rsid w:val="0001107B"/>
    <w:rsid w:val="00013D11"/>
    <w:rsid w:val="00014109"/>
    <w:rsid w:val="00014678"/>
    <w:rsid w:val="00017762"/>
    <w:rsid w:val="00021CC3"/>
    <w:rsid w:val="00022A9B"/>
    <w:rsid w:val="0002388C"/>
    <w:rsid w:val="000250F4"/>
    <w:rsid w:val="00033294"/>
    <w:rsid w:val="000347B0"/>
    <w:rsid w:val="000375C6"/>
    <w:rsid w:val="00042059"/>
    <w:rsid w:val="00043858"/>
    <w:rsid w:val="00044974"/>
    <w:rsid w:val="0004580B"/>
    <w:rsid w:val="000516B9"/>
    <w:rsid w:val="00052616"/>
    <w:rsid w:val="00052F69"/>
    <w:rsid w:val="00054E43"/>
    <w:rsid w:val="00060DA1"/>
    <w:rsid w:val="00060E71"/>
    <w:rsid w:val="00061616"/>
    <w:rsid w:val="00061AB0"/>
    <w:rsid w:val="00062B2C"/>
    <w:rsid w:val="00062E35"/>
    <w:rsid w:val="000640FA"/>
    <w:rsid w:val="0006445E"/>
    <w:rsid w:val="000665EC"/>
    <w:rsid w:val="00072912"/>
    <w:rsid w:val="00072A97"/>
    <w:rsid w:val="0007463F"/>
    <w:rsid w:val="00076855"/>
    <w:rsid w:val="00076971"/>
    <w:rsid w:val="00081E3F"/>
    <w:rsid w:val="00085180"/>
    <w:rsid w:val="00085412"/>
    <w:rsid w:val="00085725"/>
    <w:rsid w:val="00087E74"/>
    <w:rsid w:val="0009335C"/>
    <w:rsid w:val="0009490B"/>
    <w:rsid w:val="00095B95"/>
    <w:rsid w:val="000A00EC"/>
    <w:rsid w:val="000A0167"/>
    <w:rsid w:val="000A05EF"/>
    <w:rsid w:val="000A32BF"/>
    <w:rsid w:val="000A4E1C"/>
    <w:rsid w:val="000A5904"/>
    <w:rsid w:val="000A742A"/>
    <w:rsid w:val="000B2A9B"/>
    <w:rsid w:val="000B3ABD"/>
    <w:rsid w:val="000B56C5"/>
    <w:rsid w:val="000B5CBA"/>
    <w:rsid w:val="000B78BA"/>
    <w:rsid w:val="000B7C66"/>
    <w:rsid w:val="000C0026"/>
    <w:rsid w:val="000C2A53"/>
    <w:rsid w:val="000C3071"/>
    <w:rsid w:val="000C70CB"/>
    <w:rsid w:val="000C71CE"/>
    <w:rsid w:val="000C7CA4"/>
    <w:rsid w:val="000D035C"/>
    <w:rsid w:val="000D1669"/>
    <w:rsid w:val="000D32C3"/>
    <w:rsid w:val="000D3A8B"/>
    <w:rsid w:val="000E0BC7"/>
    <w:rsid w:val="000E0E3A"/>
    <w:rsid w:val="000E1E8E"/>
    <w:rsid w:val="000E3F7E"/>
    <w:rsid w:val="000E4123"/>
    <w:rsid w:val="000E549B"/>
    <w:rsid w:val="000E55D6"/>
    <w:rsid w:val="000E5C04"/>
    <w:rsid w:val="000E6695"/>
    <w:rsid w:val="000E6EED"/>
    <w:rsid w:val="000E7E46"/>
    <w:rsid w:val="000F0FCC"/>
    <w:rsid w:val="000F0FD2"/>
    <w:rsid w:val="000F1B4B"/>
    <w:rsid w:val="000F233C"/>
    <w:rsid w:val="000F2670"/>
    <w:rsid w:val="000F5203"/>
    <w:rsid w:val="000F522D"/>
    <w:rsid w:val="000F5325"/>
    <w:rsid w:val="000F796A"/>
    <w:rsid w:val="000F7DEA"/>
    <w:rsid w:val="00102938"/>
    <w:rsid w:val="0010325F"/>
    <w:rsid w:val="00104E09"/>
    <w:rsid w:val="00105FE4"/>
    <w:rsid w:val="0010638E"/>
    <w:rsid w:val="00106EDF"/>
    <w:rsid w:val="001101BE"/>
    <w:rsid w:val="00111170"/>
    <w:rsid w:val="001124D0"/>
    <w:rsid w:val="0011280C"/>
    <w:rsid w:val="00113220"/>
    <w:rsid w:val="001134DA"/>
    <w:rsid w:val="00113CFD"/>
    <w:rsid w:val="00113D8D"/>
    <w:rsid w:val="00115062"/>
    <w:rsid w:val="001153A7"/>
    <w:rsid w:val="00115FA3"/>
    <w:rsid w:val="001170F5"/>
    <w:rsid w:val="001201C3"/>
    <w:rsid w:val="00120731"/>
    <w:rsid w:val="001223DE"/>
    <w:rsid w:val="00122886"/>
    <w:rsid w:val="00123A65"/>
    <w:rsid w:val="00126D5B"/>
    <w:rsid w:val="00127186"/>
    <w:rsid w:val="0012724C"/>
    <w:rsid w:val="00130F62"/>
    <w:rsid w:val="001319D1"/>
    <w:rsid w:val="00131E6F"/>
    <w:rsid w:val="00132F88"/>
    <w:rsid w:val="0013740F"/>
    <w:rsid w:val="0014038D"/>
    <w:rsid w:val="00141BB9"/>
    <w:rsid w:val="0014300C"/>
    <w:rsid w:val="00144D72"/>
    <w:rsid w:val="001459D5"/>
    <w:rsid w:val="00152E33"/>
    <w:rsid w:val="0015347C"/>
    <w:rsid w:val="001540AF"/>
    <w:rsid w:val="0015446A"/>
    <w:rsid w:val="00155EE8"/>
    <w:rsid w:val="0015601D"/>
    <w:rsid w:val="00160360"/>
    <w:rsid w:val="0016152E"/>
    <w:rsid w:val="00161D56"/>
    <w:rsid w:val="0016392B"/>
    <w:rsid w:val="00164F06"/>
    <w:rsid w:val="0016695B"/>
    <w:rsid w:val="0017253F"/>
    <w:rsid w:val="00175836"/>
    <w:rsid w:val="001769D5"/>
    <w:rsid w:val="00176C84"/>
    <w:rsid w:val="00177208"/>
    <w:rsid w:val="00180125"/>
    <w:rsid w:val="00183F67"/>
    <w:rsid w:val="00184717"/>
    <w:rsid w:val="00184E54"/>
    <w:rsid w:val="00192834"/>
    <w:rsid w:val="00192BE4"/>
    <w:rsid w:val="00194EA3"/>
    <w:rsid w:val="001A03BE"/>
    <w:rsid w:val="001A102A"/>
    <w:rsid w:val="001A213A"/>
    <w:rsid w:val="001A5AF7"/>
    <w:rsid w:val="001A5EB2"/>
    <w:rsid w:val="001A7071"/>
    <w:rsid w:val="001A7EDC"/>
    <w:rsid w:val="001B0CC1"/>
    <w:rsid w:val="001B1351"/>
    <w:rsid w:val="001B1A93"/>
    <w:rsid w:val="001B2C82"/>
    <w:rsid w:val="001B4A08"/>
    <w:rsid w:val="001B5B5B"/>
    <w:rsid w:val="001B66C2"/>
    <w:rsid w:val="001B68F2"/>
    <w:rsid w:val="001C0174"/>
    <w:rsid w:val="001C0DDC"/>
    <w:rsid w:val="001C1563"/>
    <w:rsid w:val="001C2ED2"/>
    <w:rsid w:val="001C5101"/>
    <w:rsid w:val="001C5823"/>
    <w:rsid w:val="001C5E41"/>
    <w:rsid w:val="001C6CD4"/>
    <w:rsid w:val="001D16B0"/>
    <w:rsid w:val="001D198A"/>
    <w:rsid w:val="001D2610"/>
    <w:rsid w:val="001D465C"/>
    <w:rsid w:val="001D4A19"/>
    <w:rsid w:val="001D61E0"/>
    <w:rsid w:val="001D7262"/>
    <w:rsid w:val="001E0742"/>
    <w:rsid w:val="001E16D5"/>
    <w:rsid w:val="001E1A03"/>
    <w:rsid w:val="001E2903"/>
    <w:rsid w:val="001E63DB"/>
    <w:rsid w:val="001E643A"/>
    <w:rsid w:val="001E67B3"/>
    <w:rsid w:val="001F0998"/>
    <w:rsid w:val="001F18AB"/>
    <w:rsid w:val="001F1D13"/>
    <w:rsid w:val="001F1D65"/>
    <w:rsid w:val="001F7E42"/>
    <w:rsid w:val="00201177"/>
    <w:rsid w:val="002018E4"/>
    <w:rsid w:val="00201CFD"/>
    <w:rsid w:val="002020A5"/>
    <w:rsid w:val="002020D6"/>
    <w:rsid w:val="00204C06"/>
    <w:rsid w:val="002069A6"/>
    <w:rsid w:val="0020714D"/>
    <w:rsid w:val="00207718"/>
    <w:rsid w:val="002119A0"/>
    <w:rsid w:val="002123C5"/>
    <w:rsid w:val="0021305F"/>
    <w:rsid w:val="00213674"/>
    <w:rsid w:val="00213B97"/>
    <w:rsid w:val="0021507F"/>
    <w:rsid w:val="00221B75"/>
    <w:rsid w:val="002260E6"/>
    <w:rsid w:val="002303A9"/>
    <w:rsid w:val="00230BF4"/>
    <w:rsid w:val="00231ADF"/>
    <w:rsid w:val="002324A5"/>
    <w:rsid w:val="0023395D"/>
    <w:rsid w:val="002360A3"/>
    <w:rsid w:val="00236949"/>
    <w:rsid w:val="002425BC"/>
    <w:rsid w:val="00243973"/>
    <w:rsid w:val="002442B4"/>
    <w:rsid w:val="0024484D"/>
    <w:rsid w:val="0024486C"/>
    <w:rsid w:val="002453B0"/>
    <w:rsid w:val="002479B6"/>
    <w:rsid w:val="00251CF0"/>
    <w:rsid w:val="0025419A"/>
    <w:rsid w:val="002545B9"/>
    <w:rsid w:val="00256920"/>
    <w:rsid w:val="0026110F"/>
    <w:rsid w:val="00262122"/>
    <w:rsid w:val="00263870"/>
    <w:rsid w:val="002645F0"/>
    <w:rsid w:val="00265090"/>
    <w:rsid w:val="002663D1"/>
    <w:rsid w:val="002679AB"/>
    <w:rsid w:val="00267C34"/>
    <w:rsid w:val="00270184"/>
    <w:rsid w:val="00271966"/>
    <w:rsid w:val="0027217E"/>
    <w:rsid w:val="002735E7"/>
    <w:rsid w:val="002736EE"/>
    <w:rsid w:val="00275CA4"/>
    <w:rsid w:val="0027783A"/>
    <w:rsid w:val="00280BB4"/>
    <w:rsid w:val="00280E53"/>
    <w:rsid w:val="002814E5"/>
    <w:rsid w:val="002828F6"/>
    <w:rsid w:val="002837FE"/>
    <w:rsid w:val="002838CD"/>
    <w:rsid w:val="00284374"/>
    <w:rsid w:val="002845CE"/>
    <w:rsid w:val="002852C5"/>
    <w:rsid w:val="00286ED3"/>
    <w:rsid w:val="00287DB8"/>
    <w:rsid w:val="00287F40"/>
    <w:rsid w:val="0029042F"/>
    <w:rsid w:val="00291A6E"/>
    <w:rsid w:val="00293842"/>
    <w:rsid w:val="00293E18"/>
    <w:rsid w:val="00296661"/>
    <w:rsid w:val="002974BD"/>
    <w:rsid w:val="00297A1C"/>
    <w:rsid w:val="002A15DF"/>
    <w:rsid w:val="002A20B0"/>
    <w:rsid w:val="002A41E8"/>
    <w:rsid w:val="002A43A2"/>
    <w:rsid w:val="002A5441"/>
    <w:rsid w:val="002A795A"/>
    <w:rsid w:val="002B00D8"/>
    <w:rsid w:val="002B164B"/>
    <w:rsid w:val="002B1A48"/>
    <w:rsid w:val="002B1FD7"/>
    <w:rsid w:val="002B492D"/>
    <w:rsid w:val="002B49C4"/>
    <w:rsid w:val="002B5472"/>
    <w:rsid w:val="002B68E7"/>
    <w:rsid w:val="002C00F0"/>
    <w:rsid w:val="002C1F2D"/>
    <w:rsid w:val="002C24FF"/>
    <w:rsid w:val="002C3814"/>
    <w:rsid w:val="002C3A49"/>
    <w:rsid w:val="002C487F"/>
    <w:rsid w:val="002C61EF"/>
    <w:rsid w:val="002D167C"/>
    <w:rsid w:val="002D2065"/>
    <w:rsid w:val="002D23BE"/>
    <w:rsid w:val="002D4B05"/>
    <w:rsid w:val="002D69F6"/>
    <w:rsid w:val="002E1276"/>
    <w:rsid w:val="002E1D02"/>
    <w:rsid w:val="002E2C6C"/>
    <w:rsid w:val="002E4526"/>
    <w:rsid w:val="002E45F1"/>
    <w:rsid w:val="002E4881"/>
    <w:rsid w:val="002E5B11"/>
    <w:rsid w:val="002E603C"/>
    <w:rsid w:val="002E6458"/>
    <w:rsid w:val="002E7747"/>
    <w:rsid w:val="002F4FAD"/>
    <w:rsid w:val="002F61F3"/>
    <w:rsid w:val="002F67E5"/>
    <w:rsid w:val="002F75ED"/>
    <w:rsid w:val="00300905"/>
    <w:rsid w:val="00302F73"/>
    <w:rsid w:val="003055E2"/>
    <w:rsid w:val="003055EB"/>
    <w:rsid w:val="003058BF"/>
    <w:rsid w:val="00305A46"/>
    <w:rsid w:val="003100E2"/>
    <w:rsid w:val="00312904"/>
    <w:rsid w:val="00313FE3"/>
    <w:rsid w:val="00316494"/>
    <w:rsid w:val="00316598"/>
    <w:rsid w:val="00316DA2"/>
    <w:rsid w:val="003202E0"/>
    <w:rsid w:val="00320326"/>
    <w:rsid w:val="003214FE"/>
    <w:rsid w:val="003225B8"/>
    <w:rsid w:val="00324D06"/>
    <w:rsid w:val="003254EA"/>
    <w:rsid w:val="0032550A"/>
    <w:rsid w:val="0032746B"/>
    <w:rsid w:val="00330F3E"/>
    <w:rsid w:val="003328C6"/>
    <w:rsid w:val="003331F2"/>
    <w:rsid w:val="003334C8"/>
    <w:rsid w:val="00333AB7"/>
    <w:rsid w:val="00334795"/>
    <w:rsid w:val="003347C6"/>
    <w:rsid w:val="00335339"/>
    <w:rsid w:val="003378B3"/>
    <w:rsid w:val="003407D3"/>
    <w:rsid w:val="00343BEF"/>
    <w:rsid w:val="003440F1"/>
    <w:rsid w:val="00344A72"/>
    <w:rsid w:val="00344E81"/>
    <w:rsid w:val="00346C40"/>
    <w:rsid w:val="00350E71"/>
    <w:rsid w:val="00354C0E"/>
    <w:rsid w:val="00355ADA"/>
    <w:rsid w:val="00356384"/>
    <w:rsid w:val="00356DF6"/>
    <w:rsid w:val="00362B86"/>
    <w:rsid w:val="00364683"/>
    <w:rsid w:val="00365F8D"/>
    <w:rsid w:val="003717FD"/>
    <w:rsid w:val="003718EA"/>
    <w:rsid w:val="003727F0"/>
    <w:rsid w:val="0037282A"/>
    <w:rsid w:val="00372D39"/>
    <w:rsid w:val="00374C03"/>
    <w:rsid w:val="003759E5"/>
    <w:rsid w:val="00376483"/>
    <w:rsid w:val="003826BA"/>
    <w:rsid w:val="00382A9E"/>
    <w:rsid w:val="003840C9"/>
    <w:rsid w:val="00384B2A"/>
    <w:rsid w:val="00384D13"/>
    <w:rsid w:val="00384FC6"/>
    <w:rsid w:val="0038553A"/>
    <w:rsid w:val="00385B1B"/>
    <w:rsid w:val="00387667"/>
    <w:rsid w:val="00387682"/>
    <w:rsid w:val="00391BB7"/>
    <w:rsid w:val="00392679"/>
    <w:rsid w:val="00392F6E"/>
    <w:rsid w:val="0039354F"/>
    <w:rsid w:val="003A0690"/>
    <w:rsid w:val="003A2047"/>
    <w:rsid w:val="003A3B59"/>
    <w:rsid w:val="003A51A0"/>
    <w:rsid w:val="003A5A66"/>
    <w:rsid w:val="003A5A90"/>
    <w:rsid w:val="003B09E0"/>
    <w:rsid w:val="003B1FE0"/>
    <w:rsid w:val="003B2B98"/>
    <w:rsid w:val="003B2F99"/>
    <w:rsid w:val="003B3430"/>
    <w:rsid w:val="003B407C"/>
    <w:rsid w:val="003B4BF2"/>
    <w:rsid w:val="003B55C0"/>
    <w:rsid w:val="003B582C"/>
    <w:rsid w:val="003B5F8C"/>
    <w:rsid w:val="003C0756"/>
    <w:rsid w:val="003C3DA5"/>
    <w:rsid w:val="003C3ECF"/>
    <w:rsid w:val="003C59D6"/>
    <w:rsid w:val="003C6D80"/>
    <w:rsid w:val="003C6F6D"/>
    <w:rsid w:val="003D1DB5"/>
    <w:rsid w:val="003D27C1"/>
    <w:rsid w:val="003D7E69"/>
    <w:rsid w:val="003E02F0"/>
    <w:rsid w:val="003E1AF6"/>
    <w:rsid w:val="003E3092"/>
    <w:rsid w:val="003E537F"/>
    <w:rsid w:val="003E58E3"/>
    <w:rsid w:val="003F0CE4"/>
    <w:rsid w:val="003F1048"/>
    <w:rsid w:val="003F1279"/>
    <w:rsid w:val="003F2100"/>
    <w:rsid w:val="003F2BA6"/>
    <w:rsid w:val="003F3A1D"/>
    <w:rsid w:val="003F3DEA"/>
    <w:rsid w:val="003F42BE"/>
    <w:rsid w:val="003F4CFE"/>
    <w:rsid w:val="003F59AF"/>
    <w:rsid w:val="003F5FA8"/>
    <w:rsid w:val="003F655A"/>
    <w:rsid w:val="003F7A74"/>
    <w:rsid w:val="00400AE2"/>
    <w:rsid w:val="00405235"/>
    <w:rsid w:val="004056A5"/>
    <w:rsid w:val="00407032"/>
    <w:rsid w:val="004072E2"/>
    <w:rsid w:val="00412D6E"/>
    <w:rsid w:val="00415306"/>
    <w:rsid w:val="004163B9"/>
    <w:rsid w:val="004207A0"/>
    <w:rsid w:val="004238E3"/>
    <w:rsid w:val="00430726"/>
    <w:rsid w:val="0043073C"/>
    <w:rsid w:val="004333C0"/>
    <w:rsid w:val="00435973"/>
    <w:rsid w:val="00435E02"/>
    <w:rsid w:val="004367ED"/>
    <w:rsid w:val="00436C04"/>
    <w:rsid w:val="0044143B"/>
    <w:rsid w:val="0044187A"/>
    <w:rsid w:val="00446DDC"/>
    <w:rsid w:val="00447CF4"/>
    <w:rsid w:val="004514FE"/>
    <w:rsid w:val="00452ECE"/>
    <w:rsid w:val="00454575"/>
    <w:rsid w:val="004548B4"/>
    <w:rsid w:val="00454A0C"/>
    <w:rsid w:val="0045510A"/>
    <w:rsid w:val="00455918"/>
    <w:rsid w:val="004606F0"/>
    <w:rsid w:val="004615D0"/>
    <w:rsid w:val="00461BD1"/>
    <w:rsid w:val="00467856"/>
    <w:rsid w:val="00470C20"/>
    <w:rsid w:val="00470E71"/>
    <w:rsid w:val="00472DC0"/>
    <w:rsid w:val="00476F55"/>
    <w:rsid w:val="00480DA5"/>
    <w:rsid w:val="00481977"/>
    <w:rsid w:val="00481E8C"/>
    <w:rsid w:val="004828E1"/>
    <w:rsid w:val="00485D1D"/>
    <w:rsid w:val="00492C0C"/>
    <w:rsid w:val="004931CF"/>
    <w:rsid w:val="00493B5D"/>
    <w:rsid w:val="00494590"/>
    <w:rsid w:val="00496227"/>
    <w:rsid w:val="00497578"/>
    <w:rsid w:val="004A29D2"/>
    <w:rsid w:val="004A3D28"/>
    <w:rsid w:val="004A4DFB"/>
    <w:rsid w:val="004A6BB0"/>
    <w:rsid w:val="004B0A21"/>
    <w:rsid w:val="004B29BD"/>
    <w:rsid w:val="004B60AA"/>
    <w:rsid w:val="004B6BF3"/>
    <w:rsid w:val="004C03C0"/>
    <w:rsid w:val="004C0BB4"/>
    <w:rsid w:val="004C1D6D"/>
    <w:rsid w:val="004C2D00"/>
    <w:rsid w:val="004C6D8F"/>
    <w:rsid w:val="004D04CA"/>
    <w:rsid w:val="004D0924"/>
    <w:rsid w:val="004D2CBA"/>
    <w:rsid w:val="004D4953"/>
    <w:rsid w:val="004D5049"/>
    <w:rsid w:val="004E19AD"/>
    <w:rsid w:val="004E2C13"/>
    <w:rsid w:val="004E3233"/>
    <w:rsid w:val="004F019A"/>
    <w:rsid w:val="004F2D30"/>
    <w:rsid w:val="004F3342"/>
    <w:rsid w:val="004F59A9"/>
    <w:rsid w:val="004F69B0"/>
    <w:rsid w:val="004F6A51"/>
    <w:rsid w:val="004F71D9"/>
    <w:rsid w:val="005013D8"/>
    <w:rsid w:val="00502C29"/>
    <w:rsid w:val="00504BCD"/>
    <w:rsid w:val="00511413"/>
    <w:rsid w:val="005127AD"/>
    <w:rsid w:val="00513C35"/>
    <w:rsid w:val="00513FED"/>
    <w:rsid w:val="0051420C"/>
    <w:rsid w:val="00514C52"/>
    <w:rsid w:val="005157D9"/>
    <w:rsid w:val="0051755D"/>
    <w:rsid w:val="0052342C"/>
    <w:rsid w:val="005237BD"/>
    <w:rsid w:val="005237F1"/>
    <w:rsid w:val="00525104"/>
    <w:rsid w:val="00525806"/>
    <w:rsid w:val="00526882"/>
    <w:rsid w:val="00526D6A"/>
    <w:rsid w:val="00527893"/>
    <w:rsid w:val="00527C17"/>
    <w:rsid w:val="00527C8C"/>
    <w:rsid w:val="00527CA8"/>
    <w:rsid w:val="00527F83"/>
    <w:rsid w:val="00527FA4"/>
    <w:rsid w:val="00531EED"/>
    <w:rsid w:val="005333C0"/>
    <w:rsid w:val="00534BC8"/>
    <w:rsid w:val="005350F3"/>
    <w:rsid w:val="00540246"/>
    <w:rsid w:val="005405D1"/>
    <w:rsid w:val="00540ACE"/>
    <w:rsid w:val="0054165B"/>
    <w:rsid w:val="0054197A"/>
    <w:rsid w:val="00542C35"/>
    <w:rsid w:val="00543167"/>
    <w:rsid w:val="00543881"/>
    <w:rsid w:val="00544270"/>
    <w:rsid w:val="00545217"/>
    <w:rsid w:val="00547590"/>
    <w:rsid w:val="0055331A"/>
    <w:rsid w:val="00553664"/>
    <w:rsid w:val="005536E7"/>
    <w:rsid w:val="00554094"/>
    <w:rsid w:val="005551FC"/>
    <w:rsid w:val="00555B54"/>
    <w:rsid w:val="00556045"/>
    <w:rsid w:val="005562D2"/>
    <w:rsid w:val="00560BD9"/>
    <w:rsid w:val="00561227"/>
    <w:rsid w:val="005618F8"/>
    <w:rsid w:val="00561A1A"/>
    <w:rsid w:val="005646F5"/>
    <w:rsid w:val="00565FBE"/>
    <w:rsid w:val="00566B02"/>
    <w:rsid w:val="005672A1"/>
    <w:rsid w:val="00571B5D"/>
    <w:rsid w:val="005720C0"/>
    <w:rsid w:val="00573DD0"/>
    <w:rsid w:val="0058043B"/>
    <w:rsid w:val="005807B4"/>
    <w:rsid w:val="005816ED"/>
    <w:rsid w:val="005818B4"/>
    <w:rsid w:val="0058192E"/>
    <w:rsid w:val="0058268C"/>
    <w:rsid w:val="005835EC"/>
    <w:rsid w:val="0058378C"/>
    <w:rsid w:val="00584A72"/>
    <w:rsid w:val="00585231"/>
    <w:rsid w:val="005853A6"/>
    <w:rsid w:val="005862EB"/>
    <w:rsid w:val="00587515"/>
    <w:rsid w:val="00590D5F"/>
    <w:rsid w:val="005916FE"/>
    <w:rsid w:val="005941D7"/>
    <w:rsid w:val="00594560"/>
    <w:rsid w:val="005963A5"/>
    <w:rsid w:val="005A0B78"/>
    <w:rsid w:val="005A1E9D"/>
    <w:rsid w:val="005A2977"/>
    <w:rsid w:val="005A39E2"/>
    <w:rsid w:val="005A6345"/>
    <w:rsid w:val="005A68CC"/>
    <w:rsid w:val="005A6FC0"/>
    <w:rsid w:val="005A79EE"/>
    <w:rsid w:val="005B1051"/>
    <w:rsid w:val="005B13F0"/>
    <w:rsid w:val="005B1466"/>
    <w:rsid w:val="005B18C4"/>
    <w:rsid w:val="005C0407"/>
    <w:rsid w:val="005C0C97"/>
    <w:rsid w:val="005C3934"/>
    <w:rsid w:val="005C5DC5"/>
    <w:rsid w:val="005C6880"/>
    <w:rsid w:val="005D0DC5"/>
    <w:rsid w:val="005D2858"/>
    <w:rsid w:val="005D36FD"/>
    <w:rsid w:val="005D3827"/>
    <w:rsid w:val="005D3F07"/>
    <w:rsid w:val="005D4009"/>
    <w:rsid w:val="005D42B9"/>
    <w:rsid w:val="005D7292"/>
    <w:rsid w:val="005D7316"/>
    <w:rsid w:val="005E160F"/>
    <w:rsid w:val="005E1CD5"/>
    <w:rsid w:val="005E2EAF"/>
    <w:rsid w:val="005E5221"/>
    <w:rsid w:val="005E5A70"/>
    <w:rsid w:val="005F1BBF"/>
    <w:rsid w:val="005F2E8A"/>
    <w:rsid w:val="005F31D0"/>
    <w:rsid w:val="005F3BD9"/>
    <w:rsid w:val="005F60C5"/>
    <w:rsid w:val="006007CD"/>
    <w:rsid w:val="00602C51"/>
    <w:rsid w:val="00605928"/>
    <w:rsid w:val="00605ECE"/>
    <w:rsid w:val="00606752"/>
    <w:rsid w:val="0060714F"/>
    <w:rsid w:val="00607F4D"/>
    <w:rsid w:val="006106FA"/>
    <w:rsid w:val="00611C2B"/>
    <w:rsid w:val="00611E12"/>
    <w:rsid w:val="006122C9"/>
    <w:rsid w:val="006134AE"/>
    <w:rsid w:val="00613F91"/>
    <w:rsid w:val="00614F90"/>
    <w:rsid w:val="00615C93"/>
    <w:rsid w:val="00615DA8"/>
    <w:rsid w:val="00616198"/>
    <w:rsid w:val="006172D3"/>
    <w:rsid w:val="00617F46"/>
    <w:rsid w:val="006214EB"/>
    <w:rsid w:val="006215C9"/>
    <w:rsid w:val="00621F13"/>
    <w:rsid w:val="006230F8"/>
    <w:rsid w:val="006235C1"/>
    <w:rsid w:val="00623933"/>
    <w:rsid w:val="006247C3"/>
    <w:rsid w:val="0062725A"/>
    <w:rsid w:val="00630B35"/>
    <w:rsid w:val="00631E15"/>
    <w:rsid w:val="006346CE"/>
    <w:rsid w:val="0063477D"/>
    <w:rsid w:val="00634B34"/>
    <w:rsid w:val="00635B37"/>
    <w:rsid w:val="00636008"/>
    <w:rsid w:val="00640626"/>
    <w:rsid w:val="00640B28"/>
    <w:rsid w:val="00643688"/>
    <w:rsid w:val="006436FA"/>
    <w:rsid w:val="00644A00"/>
    <w:rsid w:val="00644EF2"/>
    <w:rsid w:val="006450F9"/>
    <w:rsid w:val="006479C7"/>
    <w:rsid w:val="00647A2B"/>
    <w:rsid w:val="006505CE"/>
    <w:rsid w:val="006530F1"/>
    <w:rsid w:val="006545DE"/>
    <w:rsid w:val="006551B1"/>
    <w:rsid w:val="00657460"/>
    <w:rsid w:val="00660387"/>
    <w:rsid w:val="00660C0A"/>
    <w:rsid w:val="006610DB"/>
    <w:rsid w:val="0066291D"/>
    <w:rsid w:val="0066460C"/>
    <w:rsid w:val="006661D8"/>
    <w:rsid w:val="006714D9"/>
    <w:rsid w:val="006722C9"/>
    <w:rsid w:val="0067276C"/>
    <w:rsid w:val="00672CFE"/>
    <w:rsid w:val="006730E9"/>
    <w:rsid w:val="006740D6"/>
    <w:rsid w:val="00677402"/>
    <w:rsid w:val="00680731"/>
    <w:rsid w:val="00680CE5"/>
    <w:rsid w:val="00681D1B"/>
    <w:rsid w:val="0068416B"/>
    <w:rsid w:val="006866F0"/>
    <w:rsid w:val="006876B0"/>
    <w:rsid w:val="00693A03"/>
    <w:rsid w:val="00694916"/>
    <w:rsid w:val="00696623"/>
    <w:rsid w:val="006A1E34"/>
    <w:rsid w:val="006A30EF"/>
    <w:rsid w:val="006A6A5F"/>
    <w:rsid w:val="006B0572"/>
    <w:rsid w:val="006B0BC6"/>
    <w:rsid w:val="006B0D42"/>
    <w:rsid w:val="006B0FC7"/>
    <w:rsid w:val="006B21C3"/>
    <w:rsid w:val="006B26FE"/>
    <w:rsid w:val="006B29EC"/>
    <w:rsid w:val="006B4854"/>
    <w:rsid w:val="006B4E49"/>
    <w:rsid w:val="006B5468"/>
    <w:rsid w:val="006B5DB7"/>
    <w:rsid w:val="006B6062"/>
    <w:rsid w:val="006C02B6"/>
    <w:rsid w:val="006C0AC3"/>
    <w:rsid w:val="006C333E"/>
    <w:rsid w:val="006C3524"/>
    <w:rsid w:val="006C449B"/>
    <w:rsid w:val="006C6E49"/>
    <w:rsid w:val="006C7183"/>
    <w:rsid w:val="006D3165"/>
    <w:rsid w:val="006D3ADF"/>
    <w:rsid w:val="006D6FB4"/>
    <w:rsid w:val="006D6FBF"/>
    <w:rsid w:val="006D7B33"/>
    <w:rsid w:val="006E0BFB"/>
    <w:rsid w:val="006E3885"/>
    <w:rsid w:val="006E3900"/>
    <w:rsid w:val="006E48F4"/>
    <w:rsid w:val="006E56EE"/>
    <w:rsid w:val="006E6002"/>
    <w:rsid w:val="006E6A44"/>
    <w:rsid w:val="006E6CC2"/>
    <w:rsid w:val="006E7190"/>
    <w:rsid w:val="006F0D4D"/>
    <w:rsid w:val="006F153E"/>
    <w:rsid w:val="006F2001"/>
    <w:rsid w:val="006F405E"/>
    <w:rsid w:val="006F43E5"/>
    <w:rsid w:val="006F4724"/>
    <w:rsid w:val="006F5796"/>
    <w:rsid w:val="006F6004"/>
    <w:rsid w:val="006F65D6"/>
    <w:rsid w:val="006F68FD"/>
    <w:rsid w:val="006F7809"/>
    <w:rsid w:val="007002DA"/>
    <w:rsid w:val="0070269F"/>
    <w:rsid w:val="00706A4F"/>
    <w:rsid w:val="00707E0F"/>
    <w:rsid w:val="00710D10"/>
    <w:rsid w:val="00710FF2"/>
    <w:rsid w:val="0071277F"/>
    <w:rsid w:val="0071436A"/>
    <w:rsid w:val="00714CBF"/>
    <w:rsid w:val="00715761"/>
    <w:rsid w:val="00715FB7"/>
    <w:rsid w:val="00720CF6"/>
    <w:rsid w:val="00722C5B"/>
    <w:rsid w:val="007245FD"/>
    <w:rsid w:val="0072474A"/>
    <w:rsid w:val="0072595B"/>
    <w:rsid w:val="0072709F"/>
    <w:rsid w:val="00727F74"/>
    <w:rsid w:val="00730C64"/>
    <w:rsid w:val="00732E4A"/>
    <w:rsid w:val="00732E95"/>
    <w:rsid w:val="0074083C"/>
    <w:rsid w:val="0074555A"/>
    <w:rsid w:val="00747805"/>
    <w:rsid w:val="00751A34"/>
    <w:rsid w:val="007531ED"/>
    <w:rsid w:val="007559EA"/>
    <w:rsid w:val="00756553"/>
    <w:rsid w:val="00757AD9"/>
    <w:rsid w:val="00761D20"/>
    <w:rsid w:val="00763558"/>
    <w:rsid w:val="00763704"/>
    <w:rsid w:val="00764116"/>
    <w:rsid w:val="00764BA6"/>
    <w:rsid w:val="0076507A"/>
    <w:rsid w:val="00765AFD"/>
    <w:rsid w:val="00766B48"/>
    <w:rsid w:val="00766C58"/>
    <w:rsid w:val="00771C20"/>
    <w:rsid w:val="007729E9"/>
    <w:rsid w:val="007754FB"/>
    <w:rsid w:val="007758CF"/>
    <w:rsid w:val="00776C2C"/>
    <w:rsid w:val="00777B6F"/>
    <w:rsid w:val="00780821"/>
    <w:rsid w:val="00782596"/>
    <w:rsid w:val="0078382E"/>
    <w:rsid w:val="00783C45"/>
    <w:rsid w:val="007845AC"/>
    <w:rsid w:val="00786B04"/>
    <w:rsid w:val="00790AF5"/>
    <w:rsid w:val="00795926"/>
    <w:rsid w:val="0079704E"/>
    <w:rsid w:val="00797AD4"/>
    <w:rsid w:val="007A0656"/>
    <w:rsid w:val="007A0A0C"/>
    <w:rsid w:val="007A0CAA"/>
    <w:rsid w:val="007A127E"/>
    <w:rsid w:val="007A2F02"/>
    <w:rsid w:val="007A6D44"/>
    <w:rsid w:val="007A6E8C"/>
    <w:rsid w:val="007B0FBF"/>
    <w:rsid w:val="007B30B2"/>
    <w:rsid w:val="007B332A"/>
    <w:rsid w:val="007B6502"/>
    <w:rsid w:val="007B6707"/>
    <w:rsid w:val="007B6800"/>
    <w:rsid w:val="007B7AB5"/>
    <w:rsid w:val="007C3D38"/>
    <w:rsid w:val="007C4623"/>
    <w:rsid w:val="007C4B83"/>
    <w:rsid w:val="007C590F"/>
    <w:rsid w:val="007C5F56"/>
    <w:rsid w:val="007D0DE5"/>
    <w:rsid w:val="007D1443"/>
    <w:rsid w:val="007D4284"/>
    <w:rsid w:val="007D497B"/>
    <w:rsid w:val="007D76E9"/>
    <w:rsid w:val="007E06C0"/>
    <w:rsid w:val="007E30F3"/>
    <w:rsid w:val="007E4922"/>
    <w:rsid w:val="007E5A34"/>
    <w:rsid w:val="007F1293"/>
    <w:rsid w:val="007F15AB"/>
    <w:rsid w:val="007F4D14"/>
    <w:rsid w:val="007F4FE8"/>
    <w:rsid w:val="007F7B37"/>
    <w:rsid w:val="007F7FBD"/>
    <w:rsid w:val="00800F2A"/>
    <w:rsid w:val="00801818"/>
    <w:rsid w:val="00801D92"/>
    <w:rsid w:val="00802074"/>
    <w:rsid w:val="00802308"/>
    <w:rsid w:val="00802422"/>
    <w:rsid w:val="00804A96"/>
    <w:rsid w:val="00804FAB"/>
    <w:rsid w:val="00806224"/>
    <w:rsid w:val="0080771E"/>
    <w:rsid w:val="008105F7"/>
    <w:rsid w:val="00810FB7"/>
    <w:rsid w:val="008121C0"/>
    <w:rsid w:val="008131A3"/>
    <w:rsid w:val="008132FF"/>
    <w:rsid w:val="00815D9E"/>
    <w:rsid w:val="0081707C"/>
    <w:rsid w:val="00820703"/>
    <w:rsid w:val="0082219B"/>
    <w:rsid w:val="00823ADB"/>
    <w:rsid w:val="008247C3"/>
    <w:rsid w:val="00827CB2"/>
    <w:rsid w:val="00830030"/>
    <w:rsid w:val="008310FB"/>
    <w:rsid w:val="00831423"/>
    <w:rsid w:val="00834635"/>
    <w:rsid w:val="00834713"/>
    <w:rsid w:val="008352FD"/>
    <w:rsid w:val="00835510"/>
    <w:rsid w:val="0084074C"/>
    <w:rsid w:val="00840C82"/>
    <w:rsid w:val="0084227F"/>
    <w:rsid w:val="0084239B"/>
    <w:rsid w:val="00842E4D"/>
    <w:rsid w:val="008432CC"/>
    <w:rsid w:val="008445C3"/>
    <w:rsid w:val="008466FB"/>
    <w:rsid w:val="00846D09"/>
    <w:rsid w:val="008479DA"/>
    <w:rsid w:val="00847ABB"/>
    <w:rsid w:val="008502EB"/>
    <w:rsid w:val="0085030C"/>
    <w:rsid w:val="00850DA0"/>
    <w:rsid w:val="00852516"/>
    <w:rsid w:val="00852A44"/>
    <w:rsid w:val="00853FE2"/>
    <w:rsid w:val="008560AE"/>
    <w:rsid w:val="00857F91"/>
    <w:rsid w:val="00860DC6"/>
    <w:rsid w:val="00861B0A"/>
    <w:rsid w:val="0086497E"/>
    <w:rsid w:val="0086663C"/>
    <w:rsid w:val="0086729C"/>
    <w:rsid w:val="00867C5A"/>
    <w:rsid w:val="0087214E"/>
    <w:rsid w:val="008749ED"/>
    <w:rsid w:val="008763CE"/>
    <w:rsid w:val="00880149"/>
    <w:rsid w:val="0088161D"/>
    <w:rsid w:val="0088172D"/>
    <w:rsid w:val="00882602"/>
    <w:rsid w:val="00883E97"/>
    <w:rsid w:val="008840C6"/>
    <w:rsid w:val="0088439F"/>
    <w:rsid w:val="0088460D"/>
    <w:rsid w:val="00884BA2"/>
    <w:rsid w:val="00885F67"/>
    <w:rsid w:val="0089022C"/>
    <w:rsid w:val="00894357"/>
    <w:rsid w:val="00894F24"/>
    <w:rsid w:val="00897B21"/>
    <w:rsid w:val="008A0616"/>
    <w:rsid w:val="008A118F"/>
    <w:rsid w:val="008A3640"/>
    <w:rsid w:val="008A4358"/>
    <w:rsid w:val="008A48CE"/>
    <w:rsid w:val="008A566A"/>
    <w:rsid w:val="008A58D0"/>
    <w:rsid w:val="008B1304"/>
    <w:rsid w:val="008B309D"/>
    <w:rsid w:val="008B4636"/>
    <w:rsid w:val="008B5EC2"/>
    <w:rsid w:val="008B6541"/>
    <w:rsid w:val="008C0AD6"/>
    <w:rsid w:val="008C1670"/>
    <w:rsid w:val="008C23F4"/>
    <w:rsid w:val="008C2C79"/>
    <w:rsid w:val="008C3CE8"/>
    <w:rsid w:val="008C4E25"/>
    <w:rsid w:val="008C53F1"/>
    <w:rsid w:val="008C617C"/>
    <w:rsid w:val="008C625F"/>
    <w:rsid w:val="008C7160"/>
    <w:rsid w:val="008C772D"/>
    <w:rsid w:val="008D264F"/>
    <w:rsid w:val="008D3358"/>
    <w:rsid w:val="008D4160"/>
    <w:rsid w:val="008D56E5"/>
    <w:rsid w:val="008D5D32"/>
    <w:rsid w:val="008D76D1"/>
    <w:rsid w:val="008E16BB"/>
    <w:rsid w:val="008E2F03"/>
    <w:rsid w:val="008E4521"/>
    <w:rsid w:val="008E47C9"/>
    <w:rsid w:val="008E4885"/>
    <w:rsid w:val="008E5311"/>
    <w:rsid w:val="008E5AB3"/>
    <w:rsid w:val="008E5D3C"/>
    <w:rsid w:val="008E5DCA"/>
    <w:rsid w:val="008E7A22"/>
    <w:rsid w:val="008F098E"/>
    <w:rsid w:val="008F1736"/>
    <w:rsid w:val="008F3C93"/>
    <w:rsid w:val="008F44AE"/>
    <w:rsid w:val="008F744E"/>
    <w:rsid w:val="0090052B"/>
    <w:rsid w:val="00900541"/>
    <w:rsid w:val="00904894"/>
    <w:rsid w:val="009052FE"/>
    <w:rsid w:val="009058A3"/>
    <w:rsid w:val="0090685E"/>
    <w:rsid w:val="00907EC1"/>
    <w:rsid w:val="0091141A"/>
    <w:rsid w:val="00911534"/>
    <w:rsid w:val="00916A46"/>
    <w:rsid w:val="00922F3C"/>
    <w:rsid w:val="0092414C"/>
    <w:rsid w:val="009259D7"/>
    <w:rsid w:val="00926EDE"/>
    <w:rsid w:val="00930507"/>
    <w:rsid w:val="009316D2"/>
    <w:rsid w:val="00931A0A"/>
    <w:rsid w:val="00932003"/>
    <w:rsid w:val="00932005"/>
    <w:rsid w:val="0093387F"/>
    <w:rsid w:val="00934267"/>
    <w:rsid w:val="00937718"/>
    <w:rsid w:val="00937CB4"/>
    <w:rsid w:val="00941721"/>
    <w:rsid w:val="00942397"/>
    <w:rsid w:val="00942F2D"/>
    <w:rsid w:val="009432F7"/>
    <w:rsid w:val="00947C68"/>
    <w:rsid w:val="00950CB5"/>
    <w:rsid w:val="00952D19"/>
    <w:rsid w:val="00953A2B"/>
    <w:rsid w:val="00954BFE"/>
    <w:rsid w:val="00956C5E"/>
    <w:rsid w:val="0095794F"/>
    <w:rsid w:val="00960059"/>
    <w:rsid w:val="00963641"/>
    <w:rsid w:val="009643CA"/>
    <w:rsid w:val="00970D10"/>
    <w:rsid w:val="00972D6B"/>
    <w:rsid w:val="009735D0"/>
    <w:rsid w:val="00974BDD"/>
    <w:rsid w:val="009755E6"/>
    <w:rsid w:val="00975A77"/>
    <w:rsid w:val="00976285"/>
    <w:rsid w:val="009807BB"/>
    <w:rsid w:val="00981224"/>
    <w:rsid w:val="00982C7B"/>
    <w:rsid w:val="0098580A"/>
    <w:rsid w:val="009858CD"/>
    <w:rsid w:val="009865B9"/>
    <w:rsid w:val="00986C94"/>
    <w:rsid w:val="00987A25"/>
    <w:rsid w:val="00987C39"/>
    <w:rsid w:val="00987FDC"/>
    <w:rsid w:val="009915AF"/>
    <w:rsid w:val="009915B7"/>
    <w:rsid w:val="0099173C"/>
    <w:rsid w:val="00997137"/>
    <w:rsid w:val="009A16D1"/>
    <w:rsid w:val="009A3376"/>
    <w:rsid w:val="009A4155"/>
    <w:rsid w:val="009A4CB8"/>
    <w:rsid w:val="009A66C2"/>
    <w:rsid w:val="009A6B1A"/>
    <w:rsid w:val="009B41E3"/>
    <w:rsid w:val="009B4880"/>
    <w:rsid w:val="009B761B"/>
    <w:rsid w:val="009C0D33"/>
    <w:rsid w:val="009C2059"/>
    <w:rsid w:val="009C3800"/>
    <w:rsid w:val="009C417A"/>
    <w:rsid w:val="009C463F"/>
    <w:rsid w:val="009C6811"/>
    <w:rsid w:val="009C72D6"/>
    <w:rsid w:val="009C7907"/>
    <w:rsid w:val="009D0955"/>
    <w:rsid w:val="009D2144"/>
    <w:rsid w:val="009D2914"/>
    <w:rsid w:val="009D4C77"/>
    <w:rsid w:val="009D4DB0"/>
    <w:rsid w:val="009D69AF"/>
    <w:rsid w:val="009E136D"/>
    <w:rsid w:val="009E1C72"/>
    <w:rsid w:val="009E3C34"/>
    <w:rsid w:val="009E665A"/>
    <w:rsid w:val="009E713C"/>
    <w:rsid w:val="009E75C4"/>
    <w:rsid w:val="009F2D29"/>
    <w:rsid w:val="009F328A"/>
    <w:rsid w:val="009F6888"/>
    <w:rsid w:val="009F68E6"/>
    <w:rsid w:val="009F6E32"/>
    <w:rsid w:val="009F7CB7"/>
    <w:rsid w:val="00A00838"/>
    <w:rsid w:val="00A053CD"/>
    <w:rsid w:val="00A06A09"/>
    <w:rsid w:val="00A07189"/>
    <w:rsid w:val="00A073D5"/>
    <w:rsid w:val="00A1111F"/>
    <w:rsid w:val="00A12206"/>
    <w:rsid w:val="00A1232A"/>
    <w:rsid w:val="00A1339D"/>
    <w:rsid w:val="00A1420C"/>
    <w:rsid w:val="00A15561"/>
    <w:rsid w:val="00A16355"/>
    <w:rsid w:val="00A17511"/>
    <w:rsid w:val="00A17A48"/>
    <w:rsid w:val="00A202FC"/>
    <w:rsid w:val="00A20BC6"/>
    <w:rsid w:val="00A21CF8"/>
    <w:rsid w:val="00A24BF6"/>
    <w:rsid w:val="00A25574"/>
    <w:rsid w:val="00A26314"/>
    <w:rsid w:val="00A26811"/>
    <w:rsid w:val="00A26BEC"/>
    <w:rsid w:val="00A301F4"/>
    <w:rsid w:val="00A3068C"/>
    <w:rsid w:val="00A32EFA"/>
    <w:rsid w:val="00A3344F"/>
    <w:rsid w:val="00A34303"/>
    <w:rsid w:val="00A352DE"/>
    <w:rsid w:val="00A358CD"/>
    <w:rsid w:val="00A373C7"/>
    <w:rsid w:val="00A40075"/>
    <w:rsid w:val="00A403DC"/>
    <w:rsid w:val="00A4052C"/>
    <w:rsid w:val="00A40E23"/>
    <w:rsid w:val="00A41D22"/>
    <w:rsid w:val="00A4423C"/>
    <w:rsid w:val="00A45323"/>
    <w:rsid w:val="00A45926"/>
    <w:rsid w:val="00A45936"/>
    <w:rsid w:val="00A47379"/>
    <w:rsid w:val="00A52FEA"/>
    <w:rsid w:val="00A538F8"/>
    <w:rsid w:val="00A62ACF"/>
    <w:rsid w:val="00A63C29"/>
    <w:rsid w:val="00A65B32"/>
    <w:rsid w:val="00A661D7"/>
    <w:rsid w:val="00A703E3"/>
    <w:rsid w:val="00A70B17"/>
    <w:rsid w:val="00A71086"/>
    <w:rsid w:val="00A71214"/>
    <w:rsid w:val="00A717FA"/>
    <w:rsid w:val="00A7190C"/>
    <w:rsid w:val="00A731E0"/>
    <w:rsid w:val="00A737E5"/>
    <w:rsid w:val="00A76C6B"/>
    <w:rsid w:val="00A819F1"/>
    <w:rsid w:val="00A81B47"/>
    <w:rsid w:val="00A82F4D"/>
    <w:rsid w:val="00A83519"/>
    <w:rsid w:val="00A86776"/>
    <w:rsid w:val="00A86AC4"/>
    <w:rsid w:val="00A90315"/>
    <w:rsid w:val="00A92737"/>
    <w:rsid w:val="00A950B9"/>
    <w:rsid w:val="00A9557F"/>
    <w:rsid w:val="00A95B09"/>
    <w:rsid w:val="00AA038D"/>
    <w:rsid w:val="00AA2707"/>
    <w:rsid w:val="00AA39B1"/>
    <w:rsid w:val="00AA537C"/>
    <w:rsid w:val="00AA689A"/>
    <w:rsid w:val="00AA6C1E"/>
    <w:rsid w:val="00AA7869"/>
    <w:rsid w:val="00AB0796"/>
    <w:rsid w:val="00AB0B92"/>
    <w:rsid w:val="00AB12C4"/>
    <w:rsid w:val="00AB1EB4"/>
    <w:rsid w:val="00AB3974"/>
    <w:rsid w:val="00AB4C69"/>
    <w:rsid w:val="00AB5230"/>
    <w:rsid w:val="00AB55AC"/>
    <w:rsid w:val="00AC3DDC"/>
    <w:rsid w:val="00AC41E4"/>
    <w:rsid w:val="00AC4EFB"/>
    <w:rsid w:val="00AC6163"/>
    <w:rsid w:val="00AC64F6"/>
    <w:rsid w:val="00AD0127"/>
    <w:rsid w:val="00AD0411"/>
    <w:rsid w:val="00AD0E59"/>
    <w:rsid w:val="00AD2A8A"/>
    <w:rsid w:val="00AD6EE1"/>
    <w:rsid w:val="00AD7287"/>
    <w:rsid w:val="00AD777D"/>
    <w:rsid w:val="00AD7D09"/>
    <w:rsid w:val="00AE0FE6"/>
    <w:rsid w:val="00AE389E"/>
    <w:rsid w:val="00AE3BB6"/>
    <w:rsid w:val="00AE3D22"/>
    <w:rsid w:val="00AE5901"/>
    <w:rsid w:val="00AE5A20"/>
    <w:rsid w:val="00AE6910"/>
    <w:rsid w:val="00AE7F6E"/>
    <w:rsid w:val="00AF0594"/>
    <w:rsid w:val="00AF1196"/>
    <w:rsid w:val="00B014B8"/>
    <w:rsid w:val="00B01543"/>
    <w:rsid w:val="00B0593A"/>
    <w:rsid w:val="00B07415"/>
    <w:rsid w:val="00B0758B"/>
    <w:rsid w:val="00B07A8D"/>
    <w:rsid w:val="00B1364C"/>
    <w:rsid w:val="00B13AE0"/>
    <w:rsid w:val="00B14BCD"/>
    <w:rsid w:val="00B1508A"/>
    <w:rsid w:val="00B24E12"/>
    <w:rsid w:val="00B25ECA"/>
    <w:rsid w:val="00B2686A"/>
    <w:rsid w:val="00B271D8"/>
    <w:rsid w:val="00B271EF"/>
    <w:rsid w:val="00B304D1"/>
    <w:rsid w:val="00B31FD9"/>
    <w:rsid w:val="00B32349"/>
    <w:rsid w:val="00B34768"/>
    <w:rsid w:val="00B34A8F"/>
    <w:rsid w:val="00B35420"/>
    <w:rsid w:val="00B355A5"/>
    <w:rsid w:val="00B368B2"/>
    <w:rsid w:val="00B36990"/>
    <w:rsid w:val="00B3742C"/>
    <w:rsid w:val="00B37AF8"/>
    <w:rsid w:val="00B400C9"/>
    <w:rsid w:val="00B40330"/>
    <w:rsid w:val="00B41BF2"/>
    <w:rsid w:val="00B44194"/>
    <w:rsid w:val="00B44CE7"/>
    <w:rsid w:val="00B46044"/>
    <w:rsid w:val="00B503A6"/>
    <w:rsid w:val="00B54466"/>
    <w:rsid w:val="00B55F22"/>
    <w:rsid w:val="00B56E95"/>
    <w:rsid w:val="00B575AA"/>
    <w:rsid w:val="00B578FB"/>
    <w:rsid w:val="00B609CA"/>
    <w:rsid w:val="00B65DAE"/>
    <w:rsid w:val="00B662A9"/>
    <w:rsid w:val="00B705B3"/>
    <w:rsid w:val="00B70796"/>
    <w:rsid w:val="00B70D9C"/>
    <w:rsid w:val="00B72F43"/>
    <w:rsid w:val="00B739CF"/>
    <w:rsid w:val="00B739E6"/>
    <w:rsid w:val="00B75468"/>
    <w:rsid w:val="00B75C8A"/>
    <w:rsid w:val="00B7774D"/>
    <w:rsid w:val="00B77D38"/>
    <w:rsid w:val="00B8040A"/>
    <w:rsid w:val="00B80A17"/>
    <w:rsid w:val="00B80B0E"/>
    <w:rsid w:val="00B812AB"/>
    <w:rsid w:val="00B84243"/>
    <w:rsid w:val="00B84340"/>
    <w:rsid w:val="00B84BA4"/>
    <w:rsid w:val="00B85CEA"/>
    <w:rsid w:val="00B91A37"/>
    <w:rsid w:val="00B936F2"/>
    <w:rsid w:val="00B93A31"/>
    <w:rsid w:val="00B94EDF"/>
    <w:rsid w:val="00B95012"/>
    <w:rsid w:val="00B9593F"/>
    <w:rsid w:val="00B96512"/>
    <w:rsid w:val="00B97556"/>
    <w:rsid w:val="00BA183C"/>
    <w:rsid w:val="00BA1BBA"/>
    <w:rsid w:val="00BA1D34"/>
    <w:rsid w:val="00BA2474"/>
    <w:rsid w:val="00BA29FA"/>
    <w:rsid w:val="00BA315F"/>
    <w:rsid w:val="00BA655F"/>
    <w:rsid w:val="00BA6F9A"/>
    <w:rsid w:val="00BB111A"/>
    <w:rsid w:val="00BB246E"/>
    <w:rsid w:val="00BB33F2"/>
    <w:rsid w:val="00BB35BE"/>
    <w:rsid w:val="00BB35CB"/>
    <w:rsid w:val="00BB4CD6"/>
    <w:rsid w:val="00BB7727"/>
    <w:rsid w:val="00BB792E"/>
    <w:rsid w:val="00BB79F8"/>
    <w:rsid w:val="00BC092E"/>
    <w:rsid w:val="00BC140D"/>
    <w:rsid w:val="00BC142B"/>
    <w:rsid w:val="00BC2D86"/>
    <w:rsid w:val="00BC4709"/>
    <w:rsid w:val="00BC652F"/>
    <w:rsid w:val="00BC6B49"/>
    <w:rsid w:val="00BC76EA"/>
    <w:rsid w:val="00BD05A3"/>
    <w:rsid w:val="00BD07B3"/>
    <w:rsid w:val="00BD18BA"/>
    <w:rsid w:val="00BD2245"/>
    <w:rsid w:val="00BD2436"/>
    <w:rsid w:val="00BD2A3D"/>
    <w:rsid w:val="00BD60FE"/>
    <w:rsid w:val="00BE16D9"/>
    <w:rsid w:val="00BE47A3"/>
    <w:rsid w:val="00BE58B8"/>
    <w:rsid w:val="00BE6025"/>
    <w:rsid w:val="00BF0282"/>
    <w:rsid w:val="00BF09CB"/>
    <w:rsid w:val="00BF0F32"/>
    <w:rsid w:val="00BF16A4"/>
    <w:rsid w:val="00BF1CBA"/>
    <w:rsid w:val="00BF2535"/>
    <w:rsid w:val="00BF31FA"/>
    <w:rsid w:val="00BF3AC0"/>
    <w:rsid w:val="00BF4103"/>
    <w:rsid w:val="00BF62BB"/>
    <w:rsid w:val="00BF6A80"/>
    <w:rsid w:val="00BF6D02"/>
    <w:rsid w:val="00C0141E"/>
    <w:rsid w:val="00C03832"/>
    <w:rsid w:val="00C05457"/>
    <w:rsid w:val="00C13A91"/>
    <w:rsid w:val="00C15147"/>
    <w:rsid w:val="00C15BEF"/>
    <w:rsid w:val="00C201E3"/>
    <w:rsid w:val="00C21FAE"/>
    <w:rsid w:val="00C23A3D"/>
    <w:rsid w:val="00C23DD0"/>
    <w:rsid w:val="00C254FA"/>
    <w:rsid w:val="00C25F0D"/>
    <w:rsid w:val="00C270E0"/>
    <w:rsid w:val="00C3061F"/>
    <w:rsid w:val="00C327E9"/>
    <w:rsid w:val="00C329A1"/>
    <w:rsid w:val="00C3345D"/>
    <w:rsid w:val="00C34D7E"/>
    <w:rsid w:val="00C3503A"/>
    <w:rsid w:val="00C427FC"/>
    <w:rsid w:val="00C43827"/>
    <w:rsid w:val="00C43A75"/>
    <w:rsid w:val="00C501F1"/>
    <w:rsid w:val="00C52C65"/>
    <w:rsid w:val="00C52E29"/>
    <w:rsid w:val="00C53AFD"/>
    <w:rsid w:val="00C540BD"/>
    <w:rsid w:val="00C54E44"/>
    <w:rsid w:val="00C553FF"/>
    <w:rsid w:val="00C57FE2"/>
    <w:rsid w:val="00C60174"/>
    <w:rsid w:val="00C608A9"/>
    <w:rsid w:val="00C610E0"/>
    <w:rsid w:val="00C61976"/>
    <w:rsid w:val="00C61F16"/>
    <w:rsid w:val="00C6345A"/>
    <w:rsid w:val="00C66B2E"/>
    <w:rsid w:val="00C72701"/>
    <w:rsid w:val="00C74D87"/>
    <w:rsid w:val="00C77924"/>
    <w:rsid w:val="00C77CFC"/>
    <w:rsid w:val="00C82498"/>
    <w:rsid w:val="00C82727"/>
    <w:rsid w:val="00C84DBD"/>
    <w:rsid w:val="00C85850"/>
    <w:rsid w:val="00C859AB"/>
    <w:rsid w:val="00C8672F"/>
    <w:rsid w:val="00C87B10"/>
    <w:rsid w:val="00C906EE"/>
    <w:rsid w:val="00C912B7"/>
    <w:rsid w:val="00C9264A"/>
    <w:rsid w:val="00C927A6"/>
    <w:rsid w:val="00C94F81"/>
    <w:rsid w:val="00C965EC"/>
    <w:rsid w:val="00C968B3"/>
    <w:rsid w:val="00CA1236"/>
    <w:rsid w:val="00CA19AA"/>
    <w:rsid w:val="00CA577B"/>
    <w:rsid w:val="00CA6518"/>
    <w:rsid w:val="00CB0F75"/>
    <w:rsid w:val="00CB30B1"/>
    <w:rsid w:val="00CB451E"/>
    <w:rsid w:val="00CC0B81"/>
    <w:rsid w:val="00CC2F83"/>
    <w:rsid w:val="00CC41FB"/>
    <w:rsid w:val="00CC7242"/>
    <w:rsid w:val="00CC7AD7"/>
    <w:rsid w:val="00CD08BB"/>
    <w:rsid w:val="00CD24DE"/>
    <w:rsid w:val="00CD2562"/>
    <w:rsid w:val="00CD3DEB"/>
    <w:rsid w:val="00CD6169"/>
    <w:rsid w:val="00CD63B4"/>
    <w:rsid w:val="00CD6B2F"/>
    <w:rsid w:val="00CE0F53"/>
    <w:rsid w:val="00CE2D8C"/>
    <w:rsid w:val="00CE5B5C"/>
    <w:rsid w:val="00CF2B9B"/>
    <w:rsid w:val="00CF3F77"/>
    <w:rsid w:val="00CF4D01"/>
    <w:rsid w:val="00CF5956"/>
    <w:rsid w:val="00CF66A6"/>
    <w:rsid w:val="00D01DC2"/>
    <w:rsid w:val="00D021B6"/>
    <w:rsid w:val="00D05298"/>
    <w:rsid w:val="00D06B7D"/>
    <w:rsid w:val="00D07415"/>
    <w:rsid w:val="00D07C67"/>
    <w:rsid w:val="00D12797"/>
    <w:rsid w:val="00D132F3"/>
    <w:rsid w:val="00D1419B"/>
    <w:rsid w:val="00D16263"/>
    <w:rsid w:val="00D20DB1"/>
    <w:rsid w:val="00D21553"/>
    <w:rsid w:val="00D23752"/>
    <w:rsid w:val="00D23B61"/>
    <w:rsid w:val="00D24606"/>
    <w:rsid w:val="00D2566F"/>
    <w:rsid w:val="00D25EBA"/>
    <w:rsid w:val="00D26438"/>
    <w:rsid w:val="00D26870"/>
    <w:rsid w:val="00D2695D"/>
    <w:rsid w:val="00D313DB"/>
    <w:rsid w:val="00D31B98"/>
    <w:rsid w:val="00D33B3D"/>
    <w:rsid w:val="00D4059E"/>
    <w:rsid w:val="00D41608"/>
    <w:rsid w:val="00D42527"/>
    <w:rsid w:val="00D44917"/>
    <w:rsid w:val="00D53CCF"/>
    <w:rsid w:val="00D54B0D"/>
    <w:rsid w:val="00D55DA3"/>
    <w:rsid w:val="00D61DEB"/>
    <w:rsid w:val="00D61FFF"/>
    <w:rsid w:val="00D65E70"/>
    <w:rsid w:val="00D661FA"/>
    <w:rsid w:val="00D669BE"/>
    <w:rsid w:val="00D66C3C"/>
    <w:rsid w:val="00D72256"/>
    <w:rsid w:val="00D72378"/>
    <w:rsid w:val="00D725B8"/>
    <w:rsid w:val="00D72BB3"/>
    <w:rsid w:val="00D73295"/>
    <w:rsid w:val="00D74FF4"/>
    <w:rsid w:val="00D75D7E"/>
    <w:rsid w:val="00D760AD"/>
    <w:rsid w:val="00D819EA"/>
    <w:rsid w:val="00D82A84"/>
    <w:rsid w:val="00D847A1"/>
    <w:rsid w:val="00D84CA1"/>
    <w:rsid w:val="00D86697"/>
    <w:rsid w:val="00D877CC"/>
    <w:rsid w:val="00D90744"/>
    <w:rsid w:val="00D922DF"/>
    <w:rsid w:val="00D924F3"/>
    <w:rsid w:val="00D941D4"/>
    <w:rsid w:val="00D9483C"/>
    <w:rsid w:val="00D9717A"/>
    <w:rsid w:val="00D97FAB"/>
    <w:rsid w:val="00DA30EC"/>
    <w:rsid w:val="00DA32C1"/>
    <w:rsid w:val="00DA35C1"/>
    <w:rsid w:val="00DA6009"/>
    <w:rsid w:val="00DA709E"/>
    <w:rsid w:val="00DB0C58"/>
    <w:rsid w:val="00DB4DA9"/>
    <w:rsid w:val="00DB5043"/>
    <w:rsid w:val="00DB5FA1"/>
    <w:rsid w:val="00DB67A0"/>
    <w:rsid w:val="00DB72B5"/>
    <w:rsid w:val="00DC263D"/>
    <w:rsid w:val="00DC40D3"/>
    <w:rsid w:val="00DC4CCA"/>
    <w:rsid w:val="00DC502D"/>
    <w:rsid w:val="00DC59F5"/>
    <w:rsid w:val="00DC5A9F"/>
    <w:rsid w:val="00DD0601"/>
    <w:rsid w:val="00DD0F12"/>
    <w:rsid w:val="00DD212E"/>
    <w:rsid w:val="00DD3A44"/>
    <w:rsid w:val="00DD44E7"/>
    <w:rsid w:val="00DD4F2A"/>
    <w:rsid w:val="00DD6C22"/>
    <w:rsid w:val="00DD6DB7"/>
    <w:rsid w:val="00DD79A6"/>
    <w:rsid w:val="00DD7EB1"/>
    <w:rsid w:val="00DE30AD"/>
    <w:rsid w:val="00DE31A4"/>
    <w:rsid w:val="00DE3637"/>
    <w:rsid w:val="00DE5394"/>
    <w:rsid w:val="00DE5AC9"/>
    <w:rsid w:val="00DE61FE"/>
    <w:rsid w:val="00DE7BD2"/>
    <w:rsid w:val="00DF12BA"/>
    <w:rsid w:val="00DF1B63"/>
    <w:rsid w:val="00DF2626"/>
    <w:rsid w:val="00DF2C89"/>
    <w:rsid w:val="00DF3C3A"/>
    <w:rsid w:val="00DF52EE"/>
    <w:rsid w:val="00DF56ED"/>
    <w:rsid w:val="00DF62EA"/>
    <w:rsid w:val="00DF6542"/>
    <w:rsid w:val="00DF6BAD"/>
    <w:rsid w:val="00E01397"/>
    <w:rsid w:val="00E01F5E"/>
    <w:rsid w:val="00E03357"/>
    <w:rsid w:val="00E036FB"/>
    <w:rsid w:val="00E0430A"/>
    <w:rsid w:val="00E04517"/>
    <w:rsid w:val="00E046DC"/>
    <w:rsid w:val="00E05352"/>
    <w:rsid w:val="00E06B8C"/>
    <w:rsid w:val="00E06B93"/>
    <w:rsid w:val="00E10FCA"/>
    <w:rsid w:val="00E128BD"/>
    <w:rsid w:val="00E13485"/>
    <w:rsid w:val="00E13F50"/>
    <w:rsid w:val="00E140D7"/>
    <w:rsid w:val="00E21C78"/>
    <w:rsid w:val="00E253EB"/>
    <w:rsid w:val="00E26CAB"/>
    <w:rsid w:val="00E3107A"/>
    <w:rsid w:val="00E31384"/>
    <w:rsid w:val="00E328C2"/>
    <w:rsid w:val="00E32E30"/>
    <w:rsid w:val="00E4032F"/>
    <w:rsid w:val="00E407B5"/>
    <w:rsid w:val="00E40FF6"/>
    <w:rsid w:val="00E446F8"/>
    <w:rsid w:val="00E45717"/>
    <w:rsid w:val="00E46046"/>
    <w:rsid w:val="00E46C47"/>
    <w:rsid w:val="00E472EC"/>
    <w:rsid w:val="00E47657"/>
    <w:rsid w:val="00E47758"/>
    <w:rsid w:val="00E47CCF"/>
    <w:rsid w:val="00E50A47"/>
    <w:rsid w:val="00E52785"/>
    <w:rsid w:val="00E53520"/>
    <w:rsid w:val="00E54069"/>
    <w:rsid w:val="00E54935"/>
    <w:rsid w:val="00E60791"/>
    <w:rsid w:val="00E6222D"/>
    <w:rsid w:val="00E65EA8"/>
    <w:rsid w:val="00E666D8"/>
    <w:rsid w:val="00E67B79"/>
    <w:rsid w:val="00E713B1"/>
    <w:rsid w:val="00E71A1F"/>
    <w:rsid w:val="00E729B1"/>
    <w:rsid w:val="00E7311E"/>
    <w:rsid w:val="00E73416"/>
    <w:rsid w:val="00E73AE2"/>
    <w:rsid w:val="00E73DFA"/>
    <w:rsid w:val="00E74142"/>
    <w:rsid w:val="00E748D1"/>
    <w:rsid w:val="00E7799B"/>
    <w:rsid w:val="00E77D2B"/>
    <w:rsid w:val="00E80108"/>
    <w:rsid w:val="00E814CC"/>
    <w:rsid w:val="00E822B6"/>
    <w:rsid w:val="00E82428"/>
    <w:rsid w:val="00E829C2"/>
    <w:rsid w:val="00E8515C"/>
    <w:rsid w:val="00E85327"/>
    <w:rsid w:val="00E85565"/>
    <w:rsid w:val="00E86A1F"/>
    <w:rsid w:val="00E87988"/>
    <w:rsid w:val="00E911AF"/>
    <w:rsid w:val="00E9194F"/>
    <w:rsid w:val="00E91C38"/>
    <w:rsid w:val="00E94D39"/>
    <w:rsid w:val="00E96798"/>
    <w:rsid w:val="00E96AD2"/>
    <w:rsid w:val="00E9710A"/>
    <w:rsid w:val="00E975E3"/>
    <w:rsid w:val="00EA1B79"/>
    <w:rsid w:val="00EA2777"/>
    <w:rsid w:val="00EA2B94"/>
    <w:rsid w:val="00EA2BCD"/>
    <w:rsid w:val="00EA30E5"/>
    <w:rsid w:val="00EA5537"/>
    <w:rsid w:val="00EA75B6"/>
    <w:rsid w:val="00EA7A66"/>
    <w:rsid w:val="00EB0B99"/>
    <w:rsid w:val="00EB0BA9"/>
    <w:rsid w:val="00EB2BE2"/>
    <w:rsid w:val="00EB37E0"/>
    <w:rsid w:val="00EB465C"/>
    <w:rsid w:val="00EB51B8"/>
    <w:rsid w:val="00EB610A"/>
    <w:rsid w:val="00EB7A96"/>
    <w:rsid w:val="00EB7B55"/>
    <w:rsid w:val="00EC4236"/>
    <w:rsid w:val="00EC4380"/>
    <w:rsid w:val="00EC6591"/>
    <w:rsid w:val="00EC71BF"/>
    <w:rsid w:val="00EC7CA5"/>
    <w:rsid w:val="00ED1029"/>
    <w:rsid w:val="00ED1042"/>
    <w:rsid w:val="00ED13D4"/>
    <w:rsid w:val="00ED24DB"/>
    <w:rsid w:val="00ED44C8"/>
    <w:rsid w:val="00ED4FD8"/>
    <w:rsid w:val="00ED5257"/>
    <w:rsid w:val="00ED5CC9"/>
    <w:rsid w:val="00ED60E8"/>
    <w:rsid w:val="00ED6764"/>
    <w:rsid w:val="00EE11D9"/>
    <w:rsid w:val="00EE2749"/>
    <w:rsid w:val="00EE39BE"/>
    <w:rsid w:val="00EE42FC"/>
    <w:rsid w:val="00EE448D"/>
    <w:rsid w:val="00EE5D95"/>
    <w:rsid w:val="00EE5DC9"/>
    <w:rsid w:val="00EE780E"/>
    <w:rsid w:val="00EE7EEA"/>
    <w:rsid w:val="00EF0513"/>
    <w:rsid w:val="00EF0623"/>
    <w:rsid w:val="00EF0CE4"/>
    <w:rsid w:val="00EF1D08"/>
    <w:rsid w:val="00EF26D6"/>
    <w:rsid w:val="00EF5592"/>
    <w:rsid w:val="00EF6588"/>
    <w:rsid w:val="00EF72BA"/>
    <w:rsid w:val="00EF7F02"/>
    <w:rsid w:val="00F02761"/>
    <w:rsid w:val="00F0281F"/>
    <w:rsid w:val="00F02914"/>
    <w:rsid w:val="00F03172"/>
    <w:rsid w:val="00F03ACF"/>
    <w:rsid w:val="00F05AB4"/>
    <w:rsid w:val="00F06043"/>
    <w:rsid w:val="00F069CF"/>
    <w:rsid w:val="00F1011E"/>
    <w:rsid w:val="00F10801"/>
    <w:rsid w:val="00F154C9"/>
    <w:rsid w:val="00F15620"/>
    <w:rsid w:val="00F15DB0"/>
    <w:rsid w:val="00F1618B"/>
    <w:rsid w:val="00F22934"/>
    <w:rsid w:val="00F23374"/>
    <w:rsid w:val="00F24CF6"/>
    <w:rsid w:val="00F24E9C"/>
    <w:rsid w:val="00F25923"/>
    <w:rsid w:val="00F27139"/>
    <w:rsid w:val="00F30907"/>
    <w:rsid w:val="00F30AC1"/>
    <w:rsid w:val="00F32149"/>
    <w:rsid w:val="00F33272"/>
    <w:rsid w:val="00F3540C"/>
    <w:rsid w:val="00F36020"/>
    <w:rsid w:val="00F365D1"/>
    <w:rsid w:val="00F3794E"/>
    <w:rsid w:val="00F4119C"/>
    <w:rsid w:val="00F4139C"/>
    <w:rsid w:val="00F4472A"/>
    <w:rsid w:val="00F460DE"/>
    <w:rsid w:val="00F4665C"/>
    <w:rsid w:val="00F50819"/>
    <w:rsid w:val="00F50F43"/>
    <w:rsid w:val="00F51D2B"/>
    <w:rsid w:val="00F529C7"/>
    <w:rsid w:val="00F56152"/>
    <w:rsid w:val="00F61365"/>
    <w:rsid w:val="00F61914"/>
    <w:rsid w:val="00F63886"/>
    <w:rsid w:val="00F64696"/>
    <w:rsid w:val="00F65473"/>
    <w:rsid w:val="00F66DBB"/>
    <w:rsid w:val="00F70353"/>
    <w:rsid w:val="00F71C4A"/>
    <w:rsid w:val="00F77244"/>
    <w:rsid w:val="00F80629"/>
    <w:rsid w:val="00F8334E"/>
    <w:rsid w:val="00F84219"/>
    <w:rsid w:val="00F865DD"/>
    <w:rsid w:val="00F86F12"/>
    <w:rsid w:val="00F907C6"/>
    <w:rsid w:val="00F91DBE"/>
    <w:rsid w:val="00F92291"/>
    <w:rsid w:val="00F936E5"/>
    <w:rsid w:val="00F9586B"/>
    <w:rsid w:val="00F95AD1"/>
    <w:rsid w:val="00F96981"/>
    <w:rsid w:val="00FA196B"/>
    <w:rsid w:val="00FA24B5"/>
    <w:rsid w:val="00FA2E61"/>
    <w:rsid w:val="00FA3983"/>
    <w:rsid w:val="00FA4410"/>
    <w:rsid w:val="00FA47D7"/>
    <w:rsid w:val="00FA6CBF"/>
    <w:rsid w:val="00FA7365"/>
    <w:rsid w:val="00FA74DF"/>
    <w:rsid w:val="00FB0084"/>
    <w:rsid w:val="00FB0C94"/>
    <w:rsid w:val="00FB1B1D"/>
    <w:rsid w:val="00FB1F0C"/>
    <w:rsid w:val="00FB441A"/>
    <w:rsid w:val="00FB4AF0"/>
    <w:rsid w:val="00FB4F95"/>
    <w:rsid w:val="00FB5037"/>
    <w:rsid w:val="00FB5807"/>
    <w:rsid w:val="00FC0004"/>
    <w:rsid w:val="00FC19C5"/>
    <w:rsid w:val="00FC1B92"/>
    <w:rsid w:val="00FC2854"/>
    <w:rsid w:val="00FC2E4B"/>
    <w:rsid w:val="00FC5180"/>
    <w:rsid w:val="00FC6CE6"/>
    <w:rsid w:val="00FC7D71"/>
    <w:rsid w:val="00FD0F47"/>
    <w:rsid w:val="00FD387A"/>
    <w:rsid w:val="00FE036B"/>
    <w:rsid w:val="00FE4E45"/>
    <w:rsid w:val="00FE5D4E"/>
    <w:rsid w:val="00FE68F9"/>
    <w:rsid w:val="00FE7163"/>
    <w:rsid w:val="00FF1637"/>
    <w:rsid w:val="00FF29DA"/>
    <w:rsid w:val="00FF3BBF"/>
    <w:rsid w:val="00FF3CDE"/>
    <w:rsid w:val="00FF60D7"/>
    <w:rsid w:val="00FF64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A9F346"/>
  <w15:chartTrackingRefBased/>
  <w15:docId w15:val="{AD3B9C01-C976-46F8-AF04-9D2D45E8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415"/>
    <w:pPr>
      <w:spacing w:after="0" w:line="36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F529C7"/>
    <w:pPr>
      <w:keepNext/>
      <w:keepLines/>
      <w:spacing w:before="360" w:after="80"/>
      <w:outlineLvl w:val="0"/>
    </w:pPr>
    <w:rPr>
      <w:rFonts w:eastAsiaTheme="majorEastAsia" w:cstheme="majorBidi"/>
      <w:b/>
      <w:color w:val="000000" w:themeColor="text1"/>
      <w:sz w:val="30"/>
      <w:szCs w:val="40"/>
    </w:rPr>
  </w:style>
  <w:style w:type="paragraph" w:styleId="Heading2">
    <w:name w:val="heading 2"/>
    <w:basedOn w:val="Normal"/>
    <w:next w:val="Normal"/>
    <w:link w:val="Heading2Char"/>
    <w:uiPriority w:val="9"/>
    <w:unhideWhenUsed/>
    <w:qFormat/>
    <w:rsid w:val="00485D1D"/>
    <w:pPr>
      <w:keepNext/>
      <w:keepLines/>
      <w:spacing w:before="160" w:after="80"/>
      <w:outlineLvl w:val="1"/>
    </w:pPr>
    <w:rPr>
      <w:rFonts w:eastAsiaTheme="majorEastAsia" w:cstheme="majorBidi"/>
      <w:i/>
      <w:color w:val="000000" w:themeColor="text1"/>
      <w:sz w:val="28"/>
      <w:szCs w:val="32"/>
    </w:rPr>
  </w:style>
  <w:style w:type="paragraph" w:styleId="Heading3">
    <w:name w:val="heading 3"/>
    <w:basedOn w:val="Normal"/>
    <w:next w:val="Normal"/>
    <w:link w:val="Heading3Char"/>
    <w:uiPriority w:val="9"/>
    <w:unhideWhenUsed/>
    <w:qFormat/>
    <w:rsid w:val="008105F7"/>
    <w:pPr>
      <w:keepNext/>
      <w:keepLines/>
      <w:spacing w:before="160" w:after="80"/>
      <w:outlineLvl w:val="2"/>
    </w:pPr>
    <w:rPr>
      <w:rFonts w:eastAsiaTheme="majorEastAsia" w:cstheme="majorBidi"/>
      <w:b/>
      <w:color w:val="000000" w:themeColor="text1"/>
      <w:sz w:val="28"/>
      <w:szCs w:val="28"/>
      <w:u w:val="single"/>
    </w:rPr>
  </w:style>
  <w:style w:type="paragraph" w:styleId="Heading4">
    <w:name w:val="heading 4"/>
    <w:basedOn w:val="Normal"/>
    <w:next w:val="Normal"/>
    <w:link w:val="Heading4Char"/>
    <w:uiPriority w:val="9"/>
    <w:semiHidden/>
    <w:unhideWhenUsed/>
    <w:qFormat/>
    <w:rsid w:val="00634B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B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B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B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B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B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9C7"/>
    <w:rPr>
      <w:rFonts w:ascii="Times New Roman" w:eastAsiaTheme="majorEastAsia" w:hAnsi="Times New Roman" w:cstheme="majorBidi"/>
      <w:b/>
      <w:color w:val="000000" w:themeColor="text1"/>
      <w:kern w:val="0"/>
      <w:sz w:val="30"/>
      <w:szCs w:val="40"/>
      <w14:ligatures w14:val="none"/>
    </w:rPr>
  </w:style>
  <w:style w:type="character" w:customStyle="1" w:styleId="Heading2Char">
    <w:name w:val="Heading 2 Char"/>
    <w:basedOn w:val="DefaultParagraphFont"/>
    <w:link w:val="Heading2"/>
    <w:uiPriority w:val="9"/>
    <w:rsid w:val="00485D1D"/>
    <w:rPr>
      <w:rFonts w:ascii="Times New Roman" w:eastAsiaTheme="majorEastAsia" w:hAnsi="Times New Roman" w:cstheme="majorBidi"/>
      <w:i/>
      <w:color w:val="000000" w:themeColor="text1"/>
      <w:kern w:val="0"/>
      <w:sz w:val="28"/>
      <w:szCs w:val="32"/>
      <w14:ligatures w14:val="none"/>
    </w:rPr>
  </w:style>
  <w:style w:type="character" w:customStyle="1" w:styleId="Heading3Char">
    <w:name w:val="Heading 3 Char"/>
    <w:basedOn w:val="DefaultParagraphFont"/>
    <w:link w:val="Heading3"/>
    <w:uiPriority w:val="9"/>
    <w:rsid w:val="008105F7"/>
    <w:rPr>
      <w:rFonts w:ascii="Times New Roman" w:eastAsiaTheme="majorEastAsia" w:hAnsi="Times New Roman" w:cstheme="majorBidi"/>
      <w:b/>
      <w:color w:val="000000" w:themeColor="text1"/>
      <w:kern w:val="0"/>
      <w:sz w:val="28"/>
      <w:szCs w:val="28"/>
      <w:u w:val="single"/>
      <w14:ligatures w14:val="none"/>
    </w:rPr>
  </w:style>
  <w:style w:type="character" w:customStyle="1" w:styleId="Heading4Char">
    <w:name w:val="Heading 4 Char"/>
    <w:basedOn w:val="DefaultParagraphFont"/>
    <w:link w:val="Heading4"/>
    <w:uiPriority w:val="9"/>
    <w:semiHidden/>
    <w:rsid w:val="00634B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B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B34"/>
    <w:rPr>
      <w:rFonts w:eastAsiaTheme="majorEastAsia" w:cstheme="majorBidi"/>
      <w:color w:val="272727" w:themeColor="text1" w:themeTint="D8"/>
    </w:rPr>
  </w:style>
  <w:style w:type="paragraph" w:styleId="Title">
    <w:name w:val="Title"/>
    <w:basedOn w:val="Normal"/>
    <w:next w:val="Normal"/>
    <w:link w:val="TitleChar"/>
    <w:uiPriority w:val="10"/>
    <w:qFormat/>
    <w:rsid w:val="00634B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634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B34"/>
    <w:pPr>
      <w:spacing w:before="160"/>
      <w:jc w:val="center"/>
    </w:pPr>
    <w:rPr>
      <w:i/>
      <w:iCs/>
      <w:color w:val="404040" w:themeColor="text1" w:themeTint="BF"/>
    </w:rPr>
  </w:style>
  <w:style w:type="character" w:customStyle="1" w:styleId="QuoteChar">
    <w:name w:val="Quote Char"/>
    <w:basedOn w:val="DefaultParagraphFont"/>
    <w:link w:val="Quote"/>
    <w:uiPriority w:val="29"/>
    <w:rsid w:val="00634B34"/>
    <w:rPr>
      <w:i/>
      <w:iCs/>
      <w:color w:val="404040" w:themeColor="text1" w:themeTint="BF"/>
    </w:rPr>
  </w:style>
  <w:style w:type="paragraph" w:styleId="ListParagraph">
    <w:name w:val="List Paragraph"/>
    <w:basedOn w:val="Normal"/>
    <w:uiPriority w:val="34"/>
    <w:qFormat/>
    <w:rsid w:val="00634B34"/>
    <w:pPr>
      <w:ind w:left="720"/>
      <w:contextualSpacing/>
    </w:pPr>
  </w:style>
  <w:style w:type="character" w:styleId="IntenseEmphasis">
    <w:name w:val="Intense Emphasis"/>
    <w:basedOn w:val="DefaultParagraphFont"/>
    <w:uiPriority w:val="21"/>
    <w:qFormat/>
    <w:rsid w:val="00634B34"/>
    <w:rPr>
      <w:i/>
      <w:iCs/>
      <w:color w:val="0F4761" w:themeColor="accent1" w:themeShade="BF"/>
    </w:rPr>
  </w:style>
  <w:style w:type="paragraph" w:styleId="IntenseQuote">
    <w:name w:val="Intense Quote"/>
    <w:basedOn w:val="Normal"/>
    <w:next w:val="Normal"/>
    <w:link w:val="IntenseQuoteChar"/>
    <w:uiPriority w:val="30"/>
    <w:qFormat/>
    <w:rsid w:val="00634B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B34"/>
    <w:rPr>
      <w:i/>
      <w:iCs/>
      <w:color w:val="0F4761" w:themeColor="accent1" w:themeShade="BF"/>
    </w:rPr>
  </w:style>
  <w:style w:type="character" w:styleId="IntenseReference">
    <w:name w:val="Intense Reference"/>
    <w:basedOn w:val="DefaultParagraphFont"/>
    <w:uiPriority w:val="32"/>
    <w:qFormat/>
    <w:rsid w:val="00634B34"/>
    <w:rPr>
      <w:b/>
      <w:bCs/>
      <w:smallCaps/>
      <w:color w:val="0F4761" w:themeColor="accent1" w:themeShade="BF"/>
      <w:spacing w:val="5"/>
    </w:rPr>
  </w:style>
  <w:style w:type="table" w:styleId="TableGrid">
    <w:name w:val="Table Grid"/>
    <w:basedOn w:val="TableNormal"/>
    <w:uiPriority w:val="39"/>
    <w:rsid w:val="00204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022A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uiPriority w:val="99"/>
    <w:semiHidden/>
    <w:rsid w:val="008E5AB3"/>
    <w:rPr>
      <w:color w:val="666666"/>
    </w:rPr>
  </w:style>
  <w:style w:type="character" w:styleId="Hyperlink">
    <w:name w:val="Hyperlink"/>
    <w:basedOn w:val="DefaultParagraphFont"/>
    <w:uiPriority w:val="99"/>
    <w:unhideWhenUsed/>
    <w:rsid w:val="00613F91"/>
    <w:rPr>
      <w:color w:val="467886" w:themeColor="hyperlink"/>
      <w:u w:val="single"/>
    </w:rPr>
  </w:style>
  <w:style w:type="character" w:styleId="UnresolvedMention">
    <w:name w:val="Unresolved Mention"/>
    <w:basedOn w:val="DefaultParagraphFont"/>
    <w:uiPriority w:val="99"/>
    <w:semiHidden/>
    <w:unhideWhenUsed/>
    <w:rsid w:val="00613F91"/>
    <w:rPr>
      <w:color w:val="605E5C"/>
      <w:shd w:val="clear" w:color="auto" w:fill="E1DFDD"/>
    </w:rPr>
  </w:style>
  <w:style w:type="character" w:styleId="FollowedHyperlink">
    <w:name w:val="FollowedHyperlink"/>
    <w:basedOn w:val="DefaultParagraphFont"/>
    <w:uiPriority w:val="99"/>
    <w:semiHidden/>
    <w:unhideWhenUsed/>
    <w:rsid w:val="00526882"/>
    <w:rPr>
      <w:color w:val="96607D" w:themeColor="followedHyperlink"/>
      <w:u w:val="single"/>
    </w:rPr>
  </w:style>
  <w:style w:type="paragraph" w:styleId="NormalWeb">
    <w:name w:val="Normal (Web)"/>
    <w:basedOn w:val="Normal"/>
    <w:uiPriority w:val="99"/>
    <w:semiHidden/>
    <w:unhideWhenUsed/>
    <w:rsid w:val="00A352DE"/>
    <w:pPr>
      <w:spacing w:before="100" w:beforeAutospacing="1" w:after="100" w:afterAutospacing="1"/>
    </w:pPr>
  </w:style>
  <w:style w:type="paragraph" w:styleId="NoSpacing">
    <w:name w:val="No Spacing"/>
    <w:uiPriority w:val="1"/>
    <w:qFormat/>
    <w:rsid w:val="00BF0F32"/>
    <w:pPr>
      <w:spacing w:after="0" w:line="240" w:lineRule="auto"/>
    </w:pPr>
    <w:rPr>
      <w:rFonts w:ascii="Times New Roman" w:eastAsia="Times New Roman" w:hAnsi="Times New Roman" w:cs="Times New Roman"/>
      <w:kern w:val="0"/>
      <w:sz w:val="24"/>
      <w:szCs w:val="24"/>
      <w14:ligatures w14:val="none"/>
    </w:rPr>
  </w:style>
  <w:style w:type="character" w:customStyle="1" w:styleId="apple-converted-space">
    <w:name w:val="apple-converted-space"/>
    <w:basedOn w:val="DefaultParagraphFont"/>
    <w:rsid w:val="00EA1B79"/>
  </w:style>
  <w:style w:type="character" w:styleId="Emphasis">
    <w:name w:val="Emphasis"/>
    <w:basedOn w:val="DefaultParagraphFont"/>
    <w:uiPriority w:val="20"/>
    <w:qFormat/>
    <w:rsid w:val="00EA1B79"/>
    <w:rPr>
      <w:i/>
      <w:iCs/>
    </w:rPr>
  </w:style>
  <w:style w:type="paragraph" w:styleId="FootnoteText">
    <w:name w:val="footnote text"/>
    <w:basedOn w:val="Normal"/>
    <w:link w:val="FootnoteTextChar"/>
    <w:uiPriority w:val="99"/>
    <w:semiHidden/>
    <w:unhideWhenUsed/>
    <w:rsid w:val="00305A46"/>
    <w:pPr>
      <w:spacing w:line="240" w:lineRule="auto"/>
    </w:pPr>
    <w:rPr>
      <w:sz w:val="20"/>
      <w:szCs w:val="20"/>
    </w:rPr>
  </w:style>
  <w:style w:type="character" w:customStyle="1" w:styleId="FootnoteTextChar">
    <w:name w:val="Footnote Text Char"/>
    <w:basedOn w:val="DefaultParagraphFont"/>
    <w:link w:val="FootnoteText"/>
    <w:uiPriority w:val="99"/>
    <w:semiHidden/>
    <w:rsid w:val="00305A46"/>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305A46"/>
    <w:rPr>
      <w:vertAlign w:val="superscript"/>
    </w:rPr>
  </w:style>
  <w:style w:type="paragraph" w:styleId="Caption">
    <w:name w:val="caption"/>
    <w:basedOn w:val="Normal"/>
    <w:next w:val="Normal"/>
    <w:uiPriority w:val="35"/>
    <w:unhideWhenUsed/>
    <w:qFormat/>
    <w:rsid w:val="00E253EB"/>
    <w:pPr>
      <w:spacing w:after="200" w:line="240" w:lineRule="auto"/>
    </w:pPr>
    <w:rPr>
      <w:i/>
      <w:iCs/>
      <w:color w:val="0E2841" w:themeColor="text2"/>
      <w:sz w:val="18"/>
      <w:szCs w:val="18"/>
    </w:rPr>
  </w:style>
  <w:style w:type="character" w:styleId="CommentReference">
    <w:name w:val="annotation reference"/>
    <w:basedOn w:val="DefaultParagraphFont"/>
    <w:uiPriority w:val="99"/>
    <w:semiHidden/>
    <w:unhideWhenUsed/>
    <w:rsid w:val="00D20DB1"/>
    <w:rPr>
      <w:sz w:val="16"/>
      <w:szCs w:val="16"/>
    </w:rPr>
  </w:style>
  <w:style w:type="paragraph" w:styleId="CommentText">
    <w:name w:val="annotation text"/>
    <w:basedOn w:val="Normal"/>
    <w:link w:val="CommentTextChar"/>
    <w:uiPriority w:val="99"/>
    <w:semiHidden/>
    <w:unhideWhenUsed/>
    <w:rsid w:val="00D20DB1"/>
    <w:pPr>
      <w:spacing w:line="240" w:lineRule="auto"/>
    </w:pPr>
    <w:rPr>
      <w:sz w:val="20"/>
      <w:szCs w:val="20"/>
    </w:rPr>
  </w:style>
  <w:style w:type="character" w:customStyle="1" w:styleId="CommentTextChar">
    <w:name w:val="Comment Text Char"/>
    <w:basedOn w:val="DefaultParagraphFont"/>
    <w:link w:val="CommentText"/>
    <w:uiPriority w:val="99"/>
    <w:semiHidden/>
    <w:rsid w:val="00D20DB1"/>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D20DB1"/>
    <w:rPr>
      <w:b/>
      <w:bCs/>
    </w:rPr>
  </w:style>
  <w:style w:type="character" w:customStyle="1" w:styleId="CommentSubjectChar">
    <w:name w:val="Comment Subject Char"/>
    <w:basedOn w:val="CommentTextChar"/>
    <w:link w:val="CommentSubject"/>
    <w:uiPriority w:val="99"/>
    <w:semiHidden/>
    <w:rsid w:val="00D20DB1"/>
    <w:rPr>
      <w:rFonts w:ascii="Times New Roman" w:eastAsia="Times New Roman" w:hAnsi="Times New Roman" w:cs="Times New Roman"/>
      <w:b/>
      <w:bCs/>
      <w:kern w:val="0"/>
      <w:sz w:val="20"/>
      <w:szCs w:val="20"/>
      <w14:ligatures w14:val="none"/>
    </w:rPr>
  </w:style>
  <w:style w:type="paragraph" w:styleId="Revision">
    <w:name w:val="Revision"/>
    <w:hidden/>
    <w:uiPriority w:val="99"/>
    <w:semiHidden/>
    <w:rsid w:val="00376483"/>
    <w:pPr>
      <w:spacing w:after="0"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9390">
      <w:bodyDiv w:val="1"/>
      <w:marLeft w:val="0"/>
      <w:marRight w:val="0"/>
      <w:marTop w:val="0"/>
      <w:marBottom w:val="0"/>
      <w:divBdr>
        <w:top w:val="none" w:sz="0" w:space="0" w:color="auto"/>
        <w:left w:val="none" w:sz="0" w:space="0" w:color="auto"/>
        <w:bottom w:val="none" w:sz="0" w:space="0" w:color="auto"/>
        <w:right w:val="none" w:sz="0" w:space="0" w:color="auto"/>
      </w:divBdr>
      <w:divsChild>
        <w:div w:id="2127849920">
          <w:marLeft w:val="0"/>
          <w:marRight w:val="0"/>
          <w:marTop w:val="0"/>
          <w:marBottom w:val="0"/>
          <w:divBdr>
            <w:top w:val="none" w:sz="0" w:space="0" w:color="auto"/>
            <w:left w:val="none" w:sz="0" w:space="0" w:color="auto"/>
            <w:bottom w:val="none" w:sz="0" w:space="0" w:color="auto"/>
            <w:right w:val="none" w:sz="0" w:space="0" w:color="auto"/>
          </w:divBdr>
          <w:divsChild>
            <w:div w:id="264652541">
              <w:marLeft w:val="0"/>
              <w:marRight w:val="0"/>
              <w:marTop w:val="0"/>
              <w:marBottom w:val="0"/>
              <w:divBdr>
                <w:top w:val="none" w:sz="0" w:space="0" w:color="auto"/>
                <w:left w:val="none" w:sz="0" w:space="0" w:color="auto"/>
                <w:bottom w:val="none" w:sz="0" w:space="0" w:color="auto"/>
                <w:right w:val="none" w:sz="0" w:space="0" w:color="auto"/>
              </w:divBdr>
              <w:divsChild>
                <w:div w:id="2768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048">
      <w:bodyDiv w:val="1"/>
      <w:marLeft w:val="0"/>
      <w:marRight w:val="0"/>
      <w:marTop w:val="0"/>
      <w:marBottom w:val="0"/>
      <w:divBdr>
        <w:top w:val="none" w:sz="0" w:space="0" w:color="auto"/>
        <w:left w:val="none" w:sz="0" w:space="0" w:color="auto"/>
        <w:bottom w:val="none" w:sz="0" w:space="0" w:color="auto"/>
        <w:right w:val="none" w:sz="0" w:space="0" w:color="auto"/>
      </w:divBdr>
    </w:div>
    <w:div w:id="31392132">
      <w:bodyDiv w:val="1"/>
      <w:marLeft w:val="0"/>
      <w:marRight w:val="0"/>
      <w:marTop w:val="0"/>
      <w:marBottom w:val="0"/>
      <w:divBdr>
        <w:top w:val="none" w:sz="0" w:space="0" w:color="auto"/>
        <w:left w:val="none" w:sz="0" w:space="0" w:color="auto"/>
        <w:bottom w:val="none" w:sz="0" w:space="0" w:color="auto"/>
        <w:right w:val="none" w:sz="0" w:space="0" w:color="auto"/>
      </w:divBdr>
    </w:div>
    <w:div w:id="59984789">
      <w:bodyDiv w:val="1"/>
      <w:marLeft w:val="0"/>
      <w:marRight w:val="0"/>
      <w:marTop w:val="0"/>
      <w:marBottom w:val="0"/>
      <w:divBdr>
        <w:top w:val="none" w:sz="0" w:space="0" w:color="auto"/>
        <w:left w:val="none" w:sz="0" w:space="0" w:color="auto"/>
        <w:bottom w:val="none" w:sz="0" w:space="0" w:color="auto"/>
        <w:right w:val="none" w:sz="0" w:space="0" w:color="auto"/>
      </w:divBdr>
    </w:div>
    <w:div w:id="98137199">
      <w:bodyDiv w:val="1"/>
      <w:marLeft w:val="0"/>
      <w:marRight w:val="0"/>
      <w:marTop w:val="0"/>
      <w:marBottom w:val="0"/>
      <w:divBdr>
        <w:top w:val="none" w:sz="0" w:space="0" w:color="auto"/>
        <w:left w:val="none" w:sz="0" w:space="0" w:color="auto"/>
        <w:bottom w:val="none" w:sz="0" w:space="0" w:color="auto"/>
        <w:right w:val="none" w:sz="0" w:space="0" w:color="auto"/>
      </w:divBdr>
      <w:divsChild>
        <w:div w:id="1337272586">
          <w:marLeft w:val="0"/>
          <w:marRight w:val="0"/>
          <w:marTop w:val="0"/>
          <w:marBottom w:val="0"/>
          <w:divBdr>
            <w:top w:val="none" w:sz="0" w:space="0" w:color="auto"/>
            <w:left w:val="none" w:sz="0" w:space="0" w:color="auto"/>
            <w:bottom w:val="none" w:sz="0" w:space="0" w:color="auto"/>
            <w:right w:val="none" w:sz="0" w:space="0" w:color="auto"/>
          </w:divBdr>
          <w:divsChild>
            <w:div w:id="890386481">
              <w:marLeft w:val="0"/>
              <w:marRight w:val="0"/>
              <w:marTop w:val="0"/>
              <w:marBottom w:val="0"/>
              <w:divBdr>
                <w:top w:val="none" w:sz="0" w:space="0" w:color="auto"/>
                <w:left w:val="none" w:sz="0" w:space="0" w:color="auto"/>
                <w:bottom w:val="none" w:sz="0" w:space="0" w:color="auto"/>
                <w:right w:val="none" w:sz="0" w:space="0" w:color="auto"/>
              </w:divBdr>
              <w:divsChild>
                <w:div w:id="465438795">
                  <w:marLeft w:val="0"/>
                  <w:marRight w:val="0"/>
                  <w:marTop w:val="0"/>
                  <w:marBottom w:val="0"/>
                  <w:divBdr>
                    <w:top w:val="none" w:sz="0" w:space="0" w:color="auto"/>
                    <w:left w:val="none" w:sz="0" w:space="0" w:color="auto"/>
                    <w:bottom w:val="none" w:sz="0" w:space="0" w:color="auto"/>
                    <w:right w:val="none" w:sz="0" w:space="0" w:color="auto"/>
                  </w:divBdr>
                  <w:divsChild>
                    <w:div w:id="177609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4862">
      <w:bodyDiv w:val="1"/>
      <w:marLeft w:val="0"/>
      <w:marRight w:val="0"/>
      <w:marTop w:val="0"/>
      <w:marBottom w:val="0"/>
      <w:divBdr>
        <w:top w:val="none" w:sz="0" w:space="0" w:color="auto"/>
        <w:left w:val="none" w:sz="0" w:space="0" w:color="auto"/>
        <w:bottom w:val="none" w:sz="0" w:space="0" w:color="auto"/>
        <w:right w:val="none" w:sz="0" w:space="0" w:color="auto"/>
      </w:divBdr>
      <w:divsChild>
        <w:div w:id="1858077516">
          <w:marLeft w:val="0"/>
          <w:marRight w:val="0"/>
          <w:marTop w:val="0"/>
          <w:marBottom w:val="0"/>
          <w:divBdr>
            <w:top w:val="none" w:sz="0" w:space="0" w:color="auto"/>
            <w:left w:val="none" w:sz="0" w:space="0" w:color="auto"/>
            <w:bottom w:val="none" w:sz="0" w:space="0" w:color="auto"/>
            <w:right w:val="none" w:sz="0" w:space="0" w:color="auto"/>
          </w:divBdr>
          <w:divsChild>
            <w:div w:id="306125749">
              <w:marLeft w:val="0"/>
              <w:marRight w:val="0"/>
              <w:marTop w:val="0"/>
              <w:marBottom w:val="0"/>
              <w:divBdr>
                <w:top w:val="none" w:sz="0" w:space="0" w:color="auto"/>
                <w:left w:val="none" w:sz="0" w:space="0" w:color="auto"/>
                <w:bottom w:val="none" w:sz="0" w:space="0" w:color="auto"/>
                <w:right w:val="none" w:sz="0" w:space="0" w:color="auto"/>
              </w:divBdr>
              <w:divsChild>
                <w:div w:id="166796577">
                  <w:marLeft w:val="0"/>
                  <w:marRight w:val="0"/>
                  <w:marTop w:val="0"/>
                  <w:marBottom w:val="0"/>
                  <w:divBdr>
                    <w:top w:val="none" w:sz="0" w:space="0" w:color="auto"/>
                    <w:left w:val="none" w:sz="0" w:space="0" w:color="auto"/>
                    <w:bottom w:val="none" w:sz="0" w:space="0" w:color="auto"/>
                    <w:right w:val="none" w:sz="0" w:space="0" w:color="auto"/>
                  </w:divBdr>
                  <w:divsChild>
                    <w:div w:id="2069107924">
                      <w:marLeft w:val="0"/>
                      <w:marRight w:val="0"/>
                      <w:marTop w:val="0"/>
                      <w:marBottom w:val="0"/>
                      <w:divBdr>
                        <w:top w:val="none" w:sz="0" w:space="0" w:color="auto"/>
                        <w:left w:val="none" w:sz="0" w:space="0" w:color="auto"/>
                        <w:bottom w:val="none" w:sz="0" w:space="0" w:color="auto"/>
                        <w:right w:val="none" w:sz="0" w:space="0" w:color="auto"/>
                      </w:divBdr>
                      <w:divsChild>
                        <w:div w:id="498927509">
                          <w:marLeft w:val="0"/>
                          <w:marRight w:val="0"/>
                          <w:marTop w:val="0"/>
                          <w:marBottom w:val="0"/>
                          <w:divBdr>
                            <w:top w:val="none" w:sz="0" w:space="0" w:color="auto"/>
                            <w:left w:val="none" w:sz="0" w:space="0" w:color="auto"/>
                            <w:bottom w:val="none" w:sz="0" w:space="0" w:color="auto"/>
                            <w:right w:val="none" w:sz="0" w:space="0" w:color="auto"/>
                          </w:divBdr>
                          <w:divsChild>
                            <w:div w:id="14638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53235">
      <w:bodyDiv w:val="1"/>
      <w:marLeft w:val="0"/>
      <w:marRight w:val="0"/>
      <w:marTop w:val="0"/>
      <w:marBottom w:val="0"/>
      <w:divBdr>
        <w:top w:val="none" w:sz="0" w:space="0" w:color="auto"/>
        <w:left w:val="none" w:sz="0" w:space="0" w:color="auto"/>
        <w:bottom w:val="none" w:sz="0" w:space="0" w:color="auto"/>
        <w:right w:val="none" w:sz="0" w:space="0" w:color="auto"/>
      </w:divBdr>
      <w:divsChild>
        <w:div w:id="80373143">
          <w:marLeft w:val="0"/>
          <w:marRight w:val="0"/>
          <w:marTop w:val="0"/>
          <w:marBottom w:val="0"/>
          <w:divBdr>
            <w:top w:val="none" w:sz="0" w:space="0" w:color="auto"/>
            <w:left w:val="none" w:sz="0" w:space="0" w:color="auto"/>
            <w:bottom w:val="none" w:sz="0" w:space="0" w:color="auto"/>
            <w:right w:val="none" w:sz="0" w:space="0" w:color="auto"/>
          </w:divBdr>
          <w:divsChild>
            <w:div w:id="1834832215">
              <w:marLeft w:val="0"/>
              <w:marRight w:val="0"/>
              <w:marTop w:val="0"/>
              <w:marBottom w:val="0"/>
              <w:divBdr>
                <w:top w:val="none" w:sz="0" w:space="0" w:color="auto"/>
                <w:left w:val="none" w:sz="0" w:space="0" w:color="auto"/>
                <w:bottom w:val="none" w:sz="0" w:space="0" w:color="auto"/>
                <w:right w:val="none" w:sz="0" w:space="0" w:color="auto"/>
              </w:divBdr>
              <w:divsChild>
                <w:div w:id="98797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5722">
      <w:bodyDiv w:val="1"/>
      <w:marLeft w:val="0"/>
      <w:marRight w:val="0"/>
      <w:marTop w:val="0"/>
      <w:marBottom w:val="0"/>
      <w:divBdr>
        <w:top w:val="none" w:sz="0" w:space="0" w:color="auto"/>
        <w:left w:val="none" w:sz="0" w:space="0" w:color="auto"/>
        <w:bottom w:val="none" w:sz="0" w:space="0" w:color="auto"/>
        <w:right w:val="none" w:sz="0" w:space="0" w:color="auto"/>
      </w:divBdr>
    </w:div>
    <w:div w:id="214899602">
      <w:bodyDiv w:val="1"/>
      <w:marLeft w:val="0"/>
      <w:marRight w:val="0"/>
      <w:marTop w:val="0"/>
      <w:marBottom w:val="0"/>
      <w:divBdr>
        <w:top w:val="none" w:sz="0" w:space="0" w:color="auto"/>
        <w:left w:val="none" w:sz="0" w:space="0" w:color="auto"/>
        <w:bottom w:val="none" w:sz="0" w:space="0" w:color="auto"/>
        <w:right w:val="none" w:sz="0" w:space="0" w:color="auto"/>
      </w:divBdr>
    </w:div>
    <w:div w:id="223757558">
      <w:bodyDiv w:val="1"/>
      <w:marLeft w:val="0"/>
      <w:marRight w:val="0"/>
      <w:marTop w:val="0"/>
      <w:marBottom w:val="0"/>
      <w:divBdr>
        <w:top w:val="none" w:sz="0" w:space="0" w:color="auto"/>
        <w:left w:val="none" w:sz="0" w:space="0" w:color="auto"/>
        <w:bottom w:val="none" w:sz="0" w:space="0" w:color="auto"/>
        <w:right w:val="none" w:sz="0" w:space="0" w:color="auto"/>
      </w:divBdr>
      <w:divsChild>
        <w:div w:id="1138258338">
          <w:marLeft w:val="0"/>
          <w:marRight w:val="0"/>
          <w:marTop w:val="0"/>
          <w:marBottom w:val="0"/>
          <w:divBdr>
            <w:top w:val="none" w:sz="0" w:space="0" w:color="auto"/>
            <w:left w:val="none" w:sz="0" w:space="0" w:color="auto"/>
            <w:bottom w:val="none" w:sz="0" w:space="0" w:color="auto"/>
            <w:right w:val="none" w:sz="0" w:space="0" w:color="auto"/>
          </w:divBdr>
          <w:divsChild>
            <w:div w:id="839736325">
              <w:marLeft w:val="0"/>
              <w:marRight w:val="0"/>
              <w:marTop w:val="0"/>
              <w:marBottom w:val="0"/>
              <w:divBdr>
                <w:top w:val="none" w:sz="0" w:space="0" w:color="auto"/>
                <w:left w:val="none" w:sz="0" w:space="0" w:color="auto"/>
                <w:bottom w:val="none" w:sz="0" w:space="0" w:color="auto"/>
                <w:right w:val="none" w:sz="0" w:space="0" w:color="auto"/>
              </w:divBdr>
              <w:divsChild>
                <w:div w:id="131441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949187">
      <w:bodyDiv w:val="1"/>
      <w:marLeft w:val="0"/>
      <w:marRight w:val="0"/>
      <w:marTop w:val="0"/>
      <w:marBottom w:val="0"/>
      <w:divBdr>
        <w:top w:val="none" w:sz="0" w:space="0" w:color="auto"/>
        <w:left w:val="none" w:sz="0" w:space="0" w:color="auto"/>
        <w:bottom w:val="none" w:sz="0" w:space="0" w:color="auto"/>
        <w:right w:val="none" w:sz="0" w:space="0" w:color="auto"/>
      </w:divBdr>
    </w:div>
    <w:div w:id="276108095">
      <w:bodyDiv w:val="1"/>
      <w:marLeft w:val="0"/>
      <w:marRight w:val="0"/>
      <w:marTop w:val="0"/>
      <w:marBottom w:val="0"/>
      <w:divBdr>
        <w:top w:val="none" w:sz="0" w:space="0" w:color="auto"/>
        <w:left w:val="none" w:sz="0" w:space="0" w:color="auto"/>
        <w:bottom w:val="none" w:sz="0" w:space="0" w:color="auto"/>
        <w:right w:val="none" w:sz="0" w:space="0" w:color="auto"/>
      </w:divBdr>
      <w:divsChild>
        <w:div w:id="2014188849">
          <w:marLeft w:val="0"/>
          <w:marRight w:val="0"/>
          <w:marTop w:val="0"/>
          <w:marBottom w:val="0"/>
          <w:divBdr>
            <w:top w:val="none" w:sz="0" w:space="0" w:color="auto"/>
            <w:left w:val="none" w:sz="0" w:space="0" w:color="auto"/>
            <w:bottom w:val="none" w:sz="0" w:space="0" w:color="auto"/>
            <w:right w:val="none" w:sz="0" w:space="0" w:color="auto"/>
          </w:divBdr>
          <w:divsChild>
            <w:div w:id="1866213202">
              <w:marLeft w:val="0"/>
              <w:marRight w:val="0"/>
              <w:marTop w:val="0"/>
              <w:marBottom w:val="0"/>
              <w:divBdr>
                <w:top w:val="none" w:sz="0" w:space="0" w:color="auto"/>
                <w:left w:val="none" w:sz="0" w:space="0" w:color="auto"/>
                <w:bottom w:val="none" w:sz="0" w:space="0" w:color="auto"/>
                <w:right w:val="none" w:sz="0" w:space="0" w:color="auto"/>
              </w:divBdr>
              <w:divsChild>
                <w:div w:id="123859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240959">
      <w:bodyDiv w:val="1"/>
      <w:marLeft w:val="0"/>
      <w:marRight w:val="0"/>
      <w:marTop w:val="0"/>
      <w:marBottom w:val="0"/>
      <w:divBdr>
        <w:top w:val="none" w:sz="0" w:space="0" w:color="auto"/>
        <w:left w:val="none" w:sz="0" w:space="0" w:color="auto"/>
        <w:bottom w:val="none" w:sz="0" w:space="0" w:color="auto"/>
        <w:right w:val="none" w:sz="0" w:space="0" w:color="auto"/>
      </w:divBdr>
      <w:divsChild>
        <w:div w:id="232858470">
          <w:marLeft w:val="0"/>
          <w:marRight w:val="0"/>
          <w:marTop w:val="0"/>
          <w:marBottom w:val="0"/>
          <w:divBdr>
            <w:top w:val="none" w:sz="0" w:space="0" w:color="auto"/>
            <w:left w:val="none" w:sz="0" w:space="0" w:color="auto"/>
            <w:bottom w:val="none" w:sz="0" w:space="0" w:color="auto"/>
            <w:right w:val="none" w:sz="0" w:space="0" w:color="auto"/>
          </w:divBdr>
          <w:divsChild>
            <w:div w:id="917398949">
              <w:marLeft w:val="0"/>
              <w:marRight w:val="0"/>
              <w:marTop w:val="0"/>
              <w:marBottom w:val="0"/>
              <w:divBdr>
                <w:top w:val="none" w:sz="0" w:space="0" w:color="auto"/>
                <w:left w:val="none" w:sz="0" w:space="0" w:color="auto"/>
                <w:bottom w:val="none" w:sz="0" w:space="0" w:color="auto"/>
                <w:right w:val="none" w:sz="0" w:space="0" w:color="auto"/>
              </w:divBdr>
              <w:divsChild>
                <w:div w:id="142988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11916">
      <w:bodyDiv w:val="1"/>
      <w:marLeft w:val="0"/>
      <w:marRight w:val="0"/>
      <w:marTop w:val="0"/>
      <w:marBottom w:val="0"/>
      <w:divBdr>
        <w:top w:val="none" w:sz="0" w:space="0" w:color="auto"/>
        <w:left w:val="none" w:sz="0" w:space="0" w:color="auto"/>
        <w:bottom w:val="none" w:sz="0" w:space="0" w:color="auto"/>
        <w:right w:val="none" w:sz="0" w:space="0" w:color="auto"/>
      </w:divBdr>
      <w:divsChild>
        <w:div w:id="953904266">
          <w:marLeft w:val="0"/>
          <w:marRight w:val="0"/>
          <w:marTop w:val="0"/>
          <w:marBottom w:val="0"/>
          <w:divBdr>
            <w:top w:val="none" w:sz="0" w:space="0" w:color="auto"/>
            <w:left w:val="none" w:sz="0" w:space="0" w:color="auto"/>
            <w:bottom w:val="none" w:sz="0" w:space="0" w:color="auto"/>
            <w:right w:val="none" w:sz="0" w:space="0" w:color="auto"/>
          </w:divBdr>
          <w:divsChild>
            <w:div w:id="202906811">
              <w:marLeft w:val="0"/>
              <w:marRight w:val="0"/>
              <w:marTop w:val="0"/>
              <w:marBottom w:val="0"/>
              <w:divBdr>
                <w:top w:val="none" w:sz="0" w:space="0" w:color="auto"/>
                <w:left w:val="none" w:sz="0" w:space="0" w:color="auto"/>
                <w:bottom w:val="none" w:sz="0" w:space="0" w:color="auto"/>
                <w:right w:val="none" w:sz="0" w:space="0" w:color="auto"/>
              </w:divBdr>
              <w:divsChild>
                <w:div w:id="18999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550">
      <w:bodyDiv w:val="1"/>
      <w:marLeft w:val="0"/>
      <w:marRight w:val="0"/>
      <w:marTop w:val="0"/>
      <w:marBottom w:val="0"/>
      <w:divBdr>
        <w:top w:val="none" w:sz="0" w:space="0" w:color="auto"/>
        <w:left w:val="none" w:sz="0" w:space="0" w:color="auto"/>
        <w:bottom w:val="none" w:sz="0" w:space="0" w:color="auto"/>
        <w:right w:val="none" w:sz="0" w:space="0" w:color="auto"/>
      </w:divBdr>
    </w:div>
    <w:div w:id="345905000">
      <w:bodyDiv w:val="1"/>
      <w:marLeft w:val="0"/>
      <w:marRight w:val="0"/>
      <w:marTop w:val="0"/>
      <w:marBottom w:val="0"/>
      <w:divBdr>
        <w:top w:val="none" w:sz="0" w:space="0" w:color="auto"/>
        <w:left w:val="none" w:sz="0" w:space="0" w:color="auto"/>
        <w:bottom w:val="none" w:sz="0" w:space="0" w:color="auto"/>
        <w:right w:val="none" w:sz="0" w:space="0" w:color="auto"/>
      </w:divBdr>
      <w:divsChild>
        <w:div w:id="444270276">
          <w:marLeft w:val="0"/>
          <w:marRight w:val="0"/>
          <w:marTop w:val="0"/>
          <w:marBottom w:val="0"/>
          <w:divBdr>
            <w:top w:val="none" w:sz="0" w:space="0" w:color="auto"/>
            <w:left w:val="none" w:sz="0" w:space="0" w:color="auto"/>
            <w:bottom w:val="none" w:sz="0" w:space="0" w:color="auto"/>
            <w:right w:val="none" w:sz="0" w:space="0" w:color="auto"/>
          </w:divBdr>
          <w:divsChild>
            <w:div w:id="168640127">
              <w:marLeft w:val="0"/>
              <w:marRight w:val="0"/>
              <w:marTop w:val="0"/>
              <w:marBottom w:val="0"/>
              <w:divBdr>
                <w:top w:val="none" w:sz="0" w:space="0" w:color="auto"/>
                <w:left w:val="none" w:sz="0" w:space="0" w:color="auto"/>
                <w:bottom w:val="none" w:sz="0" w:space="0" w:color="auto"/>
                <w:right w:val="none" w:sz="0" w:space="0" w:color="auto"/>
              </w:divBdr>
              <w:divsChild>
                <w:div w:id="110832189">
                  <w:marLeft w:val="0"/>
                  <w:marRight w:val="0"/>
                  <w:marTop w:val="0"/>
                  <w:marBottom w:val="0"/>
                  <w:divBdr>
                    <w:top w:val="none" w:sz="0" w:space="0" w:color="auto"/>
                    <w:left w:val="none" w:sz="0" w:space="0" w:color="auto"/>
                    <w:bottom w:val="none" w:sz="0" w:space="0" w:color="auto"/>
                    <w:right w:val="none" w:sz="0" w:space="0" w:color="auto"/>
                  </w:divBdr>
                </w:div>
              </w:divsChild>
            </w:div>
            <w:div w:id="584607155">
              <w:marLeft w:val="0"/>
              <w:marRight w:val="0"/>
              <w:marTop w:val="0"/>
              <w:marBottom w:val="0"/>
              <w:divBdr>
                <w:top w:val="none" w:sz="0" w:space="0" w:color="auto"/>
                <w:left w:val="none" w:sz="0" w:space="0" w:color="auto"/>
                <w:bottom w:val="none" w:sz="0" w:space="0" w:color="auto"/>
                <w:right w:val="none" w:sz="0" w:space="0" w:color="auto"/>
              </w:divBdr>
              <w:divsChild>
                <w:div w:id="46454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641640">
      <w:bodyDiv w:val="1"/>
      <w:marLeft w:val="0"/>
      <w:marRight w:val="0"/>
      <w:marTop w:val="0"/>
      <w:marBottom w:val="0"/>
      <w:divBdr>
        <w:top w:val="none" w:sz="0" w:space="0" w:color="auto"/>
        <w:left w:val="none" w:sz="0" w:space="0" w:color="auto"/>
        <w:bottom w:val="none" w:sz="0" w:space="0" w:color="auto"/>
        <w:right w:val="none" w:sz="0" w:space="0" w:color="auto"/>
      </w:divBdr>
    </w:div>
    <w:div w:id="405542686">
      <w:bodyDiv w:val="1"/>
      <w:marLeft w:val="0"/>
      <w:marRight w:val="0"/>
      <w:marTop w:val="0"/>
      <w:marBottom w:val="0"/>
      <w:divBdr>
        <w:top w:val="none" w:sz="0" w:space="0" w:color="auto"/>
        <w:left w:val="none" w:sz="0" w:space="0" w:color="auto"/>
        <w:bottom w:val="none" w:sz="0" w:space="0" w:color="auto"/>
        <w:right w:val="none" w:sz="0" w:space="0" w:color="auto"/>
      </w:divBdr>
      <w:divsChild>
        <w:div w:id="1796870429">
          <w:marLeft w:val="0"/>
          <w:marRight w:val="0"/>
          <w:marTop w:val="0"/>
          <w:marBottom w:val="0"/>
          <w:divBdr>
            <w:top w:val="none" w:sz="0" w:space="0" w:color="auto"/>
            <w:left w:val="none" w:sz="0" w:space="0" w:color="auto"/>
            <w:bottom w:val="none" w:sz="0" w:space="0" w:color="auto"/>
            <w:right w:val="none" w:sz="0" w:space="0" w:color="auto"/>
          </w:divBdr>
          <w:divsChild>
            <w:div w:id="792753980">
              <w:marLeft w:val="0"/>
              <w:marRight w:val="0"/>
              <w:marTop w:val="0"/>
              <w:marBottom w:val="0"/>
              <w:divBdr>
                <w:top w:val="none" w:sz="0" w:space="0" w:color="auto"/>
                <w:left w:val="none" w:sz="0" w:space="0" w:color="auto"/>
                <w:bottom w:val="none" w:sz="0" w:space="0" w:color="auto"/>
                <w:right w:val="none" w:sz="0" w:space="0" w:color="auto"/>
              </w:divBdr>
              <w:divsChild>
                <w:div w:id="177971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146237">
      <w:bodyDiv w:val="1"/>
      <w:marLeft w:val="0"/>
      <w:marRight w:val="0"/>
      <w:marTop w:val="0"/>
      <w:marBottom w:val="0"/>
      <w:divBdr>
        <w:top w:val="none" w:sz="0" w:space="0" w:color="auto"/>
        <w:left w:val="none" w:sz="0" w:space="0" w:color="auto"/>
        <w:bottom w:val="none" w:sz="0" w:space="0" w:color="auto"/>
        <w:right w:val="none" w:sz="0" w:space="0" w:color="auto"/>
      </w:divBdr>
      <w:divsChild>
        <w:div w:id="646204559">
          <w:marLeft w:val="0"/>
          <w:marRight w:val="0"/>
          <w:marTop w:val="0"/>
          <w:marBottom w:val="0"/>
          <w:divBdr>
            <w:top w:val="none" w:sz="0" w:space="0" w:color="auto"/>
            <w:left w:val="none" w:sz="0" w:space="0" w:color="auto"/>
            <w:bottom w:val="none" w:sz="0" w:space="0" w:color="auto"/>
            <w:right w:val="none" w:sz="0" w:space="0" w:color="auto"/>
          </w:divBdr>
          <w:divsChild>
            <w:div w:id="152336343">
              <w:marLeft w:val="0"/>
              <w:marRight w:val="0"/>
              <w:marTop w:val="0"/>
              <w:marBottom w:val="0"/>
              <w:divBdr>
                <w:top w:val="none" w:sz="0" w:space="0" w:color="auto"/>
                <w:left w:val="none" w:sz="0" w:space="0" w:color="auto"/>
                <w:bottom w:val="none" w:sz="0" w:space="0" w:color="auto"/>
                <w:right w:val="none" w:sz="0" w:space="0" w:color="auto"/>
              </w:divBdr>
              <w:divsChild>
                <w:div w:id="17033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807718">
      <w:bodyDiv w:val="1"/>
      <w:marLeft w:val="0"/>
      <w:marRight w:val="0"/>
      <w:marTop w:val="0"/>
      <w:marBottom w:val="0"/>
      <w:divBdr>
        <w:top w:val="none" w:sz="0" w:space="0" w:color="auto"/>
        <w:left w:val="none" w:sz="0" w:space="0" w:color="auto"/>
        <w:bottom w:val="none" w:sz="0" w:space="0" w:color="auto"/>
        <w:right w:val="none" w:sz="0" w:space="0" w:color="auto"/>
      </w:divBdr>
      <w:divsChild>
        <w:div w:id="1655597324">
          <w:marLeft w:val="0"/>
          <w:marRight w:val="0"/>
          <w:marTop w:val="0"/>
          <w:marBottom w:val="0"/>
          <w:divBdr>
            <w:top w:val="none" w:sz="0" w:space="0" w:color="auto"/>
            <w:left w:val="none" w:sz="0" w:space="0" w:color="auto"/>
            <w:bottom w:val="none" w:sz="0" w:space="0" w:color="auto"/>
            <w:right w:val="none" w:sz="0" w:space="0" w:color="auto"/>
          </w:divBdr>
          <w:divsChild>
            <w:div w:id="1965649393">
              <w:marLeft w:val="0"/>
              <w:marRight w:val="0"/>
              <w:marTop w:val="0"/>
              <w:marBottom w:val="0"/>
              <w:divBdr>
                <w:top w:val="none" w:sz="0" w:space="0" w:color="auto"/>
                <w:left w:val="none" w:sz="0" w:space="0" w:color="auto"/>
                <w:bottom w:val="none" w:sz="0" w:space="0" w:color="auto"/>
                <w:right w:val="none" w:sz="0" w:space="0" w:color="auto"/>
              </w:divBdr>
              <w:divsChild>
                <w:div w:id="20953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468013">
      <w:bodyDiv w:val="1"/>
      <w:marLeft w:val="0"/>
      <w:marRight w:val="0"/>
      <w:marTop w:val="0"/>
      <w:marBottom w:val="0"/>
      <w:divBdr>
        <w:top w:val="none" w:sz="0" w:space="0" w:color="auto"/>
        <w:left w:val="none" w:sz="0" w:space="0" w:color="auto"/>
        <w:bottom w:val="none" w:sz="0" w:space="0" w:color="auto"/>
        <w:right w:val="none" w:sz="0" w:space="0" w:color="auto"/>
      </w:divBdr>
      <w:divsChild>
        <w:div w:id="1534609027">
          <w:marLeft w:val="0"/>
          <w:marRight w:val="0"/>
          <w:marTop w:val="0"/>
          <w:marBottom w:val="0"/>
          <w:divBdr>
            <w:top w:val="none" w:sz="0" w:space="0" w:color="auto"/>
            <w:left w:val="none" w:sz="0" w:space="0" w:color="auto"/>
            <w:bottom w:val="none" w:sz="0" w:space="0" w:color="auto"/>
            <w:right w:val="none" w:sz="0" w:space="0" w:color="auto"/>
          </w:divBdr>
          <w:divsChild>
            <w:div w:id="1632049683">
              <w:marLeft w:val="0"/>
              <w:marRight w:val="0"/>
              <w:marTop w:val="0"/>
              <w:marBottom w:val="0"/>
              <w:divBdr>
                <w:top w:val="none" w:sz="0" w:space="0" w:color="auto"/>
                <w:left w:val="none" w:sz="0" w:space="0" w:color="auto"/>
                <w:bottom w:val="none" w:sz="0" w:space="0" w:color="auto"/>
                <w:right w:val="none" w:sz="0" w:space="0" w:color="auto"/>
              </w:divBdr>
              <w:divsChild>
                <w:div w:id="15456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163686">
      <w:bodyDiv w:val="1"/>
      <w:marLeft w:val="0"/>
      <w:marRight w:val="0"/>
      <w:marTop w:val="0"/>
      <w:marBottom w:val="0"/>
      <w:divBdr>
        <w:top w:val="none" w:sz="0" w:space="0" w:color="auto"/>
        <w:left w:val="none" w:sz="0" w:space="0" w:color="auto"/>
        <w:bottom w:val="none" w:sz="0" w:space="0" w:color="auto"/>
        <w:right w:val="none" w:sz="0" w:space="0" w:color="auto"/>
      </w:divBdr>
      <w:divsChild>
        <w:div w:id="1434549164">
          <w:marLeft w:val="0"/>
          <w:marRight w:val="0"/>
          <w:marTop w:val="0"/>
          <w:marBottom w:val="0"/>
          <w:divBdr>
            <w:top w:val="none" w:sz="0" w:space="0" w:color="auto"/>
            <w:left w:val="none" w:sz="0" w:space="0" w:color="auto"/>
            <w:bottom w:val="none" w:sz="0" w:space="0" w:color="auto"/>
            <w:right w:val="none" w:sz="0" w:space="0" w:color="auto"/>
          </w:divBdr>
          <w:divsChild>
            <w:div w:id="1195342438">
              <w:marLeft w:val="0"/>
              <w:marRight w:val="0"/>
              <w:marTop w:val="0"/>
              <w:marBottom w:val="0"/>
              <w:divBdr>
                <w:top w:val="none" w:sz="0" w:space="0" w:color="auto"/>
                <w:left w:val="none" w:sz="0" w:space="0" w:color="auto"/>
                <w:bottom w:val="none" w:sz="0" w:space="0" w:color="auto"/>
                <w:right w:val="none" w:sz="0" w:space="0" w:color="auto"/>
              </w:divBdr>
              <w:divsChild>
                <w:div w:id="98743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30896">
      <w:bodyDiv w:val="1"/>
      <w:marLeft w:val="0"/>
      <w:marRight w:val="0"/>
      <w:marTop w:val="0"/>
      <w:marBottom w:val="0"/>
      <w:divBdr>
        <w:top w:val="none" w:sz="0" w:space="0" w:color="auto"/>
        <w:left w:val="none" w:sz="0" w:space="0" w:color="auto"/>
        <w:bottom w:val="none" w:sz="0" w:space="0" w:color="auto"/>
        <w:right w:val="none" w:sz="0" w:space="0" w:color="auto"/>
      </w:divBdr>
      <w:divsChild>
        <w:div w:id="1064260771">
          <w:marLeft w:val="0"/>
          <w:marRight w:val="0"/>
          <w:marTop w:val="0"/>
          <w:marBottom w:val="0"/>
          <w:divBdr>
            <w:top w:val="none" w:sz="0" w:space="0" w:color="auto"/>
            <w:left w:val="none" w:sz="0" w:space="0" w:color="auto"/>
            <w:bottom w:val="none" w:sz="0" w:space="0" w:color="auto"/>
            <w:right w:val="none" w:sz="0" w:space="0" w:color="auto"/>
          </w:divBdr>
          <w:divsChild>
            <w:div w:id="2001342824">
              <w:marLeft w:val="0"/>
              <w:marRight w:val="0"/>
              <w:marTop w:val="0"/>
              <w:marBottom w:val="0"/>
              <w:divBdr>
                <w:top w:val="none" w:sz="0" w:space="0" w:color="auto"/>
                <w:left w:val="none" w:sz="0" w:space="0" w:color="auto"/>
                <w:bottom w:val="none" w:sz="0" w:space="0" w:color="auto"/>
                <w:right w:val="none" w:sz="0" w:space="0" w:color="auto"/>
              </w:divBdr>
              <w:divsChild>
                <w:div w:id="12949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702">
      <w:bodyDiv w:val="1"/>
      <w:marLeft w:val="0"/>
      <w:marRight w:val="0"/>
      <w:marTop w:val="0"/>
      <w:marBottom w:val="0"/>
      <w:divBdr>
        <w:top w:val="none" w:sz="0" w:space="0" w:color="auto"/>
        <w:left w:val="none" w:sz="0" w:space="0" w:color="auto"/>
        <w:bottom w:val="none" w:sz="0" w:space="0" w:color="auto"/>
        <w:right w:val="none" w:sz="0" w:space="0" w:color="auto"/>
      </w:divBdr>
    </w:div>
    <w:div w:id="541285788">
      <w:bodyDiv w:val="1"/>
      <w:marLeft w:val="0"/>
      <w:marRight w:val="0"/>
      <w:marTop w:val="0"/>
      <w:marBottom w:val="0"/>
      <w:divBdr>
        <w:top w:val="none" w:sz="0" w:space="0" w:color="auto"/>
        <w:left w:val="none" w:sz="0" w:space="0" w:color="auto"/>
        <w:bottom w:val="none" w:sz="0" w:space="0" w:color="auto"/>
        <w:right w:val="none" w:sz="0" w:space="0" w:color="auto"/>
      </w:divBdr>
    </w:div>
    <w:div w:id="569198406">
      <w:bodyDiv w:val="1"/>
      <w:marLeft w:val="0"/>
      <w:marRight w:val="0"/>
      <w:marTop w:val="0"/>
      <w:marBottom w:val="0"/>
      <w:divBdr>
        <w:top w:val="none" w:sz="0" w:space="0" w:color="auto"/>
        <w:left w:val="none" w:sz="0" w:space="0" w:color="auto"/>
        <w:bottom w:val="none" w:sz="0" w:space="0" w:color="auto"/>
        <w:right w:val="none" w:sz="0" w:space="0" w:color="auto"/>
      </w:divBdr>
    </w:div>
    <w:div w:id="599995838">
      <w:bodyDiv w:val="1"/>
      <w:marLeft w:val="0"/>
      <w:marRight w:val="0"/>
      <w:marTop w:val="0"/>
      <w:marBottom w:val="0"/>
      <w:divBdr>
        <w:top w:val="none" w:sz="0" w:space="0" w:color="auto"/>
        <w:left w:val="none" w:sz="0" w:space="0" w:color="auto"/>
        <w:bottom w:val="none" w:sz="0" w:space="0" w:color="auto"/>
        <w:right w:val="none" w:sz="0" w:space="0" w:color="auto"/>
      </w:divBdr>
      <w:divsChild>
        <w:div w:id="256600716">
          <w:marLeft w:val="0"/>
          <w:marRight w:val="0"/>
          <w:marTop w:val="0"/>
          <w:marBottom w:val="0"/>
          <w:divBdr>
            <w:top w:val="none" w:sz="0" w:space="0" w:color="auto"/>
            <w:left w:val="none" w:sz="0" w:space="0" w:color="auto"/>
            <w:bottom w:val="none" w:sz="0" w:space="0" w:color="auto"/>
            <w:right w:val="none" w:sz="0" w:space="0" w:color="auto"/>
          </w:divBdr>
          <w:divsChild>
            <w:div w:id="58788094">
              <w:marLeft w:val="0"/>
              <w:marRight w:val="0"/>
              <w:marTop w:val="0"/>
              <w:marBottom w:val="0"/>
              <w:divBdr>
                <w:top w:val="none" w:sz="0" w:space="0" w:color="auto"/>
                <w:left w:val="none" w:sz="0" w:space="0" w:color="auto"/>
                <w:bottom w:val="none" w:sz="0" w:space="0" w:color="auto"/>
                <w:right w:val="none" w:sz="0" w:space="0" w:color="auto"/>
              </w:divBdr>
              <w:divsChild>
                <w:div w:id="1145782260">
                  <w:marLeft w:val="0"/>
                  <w:marRight w:val="0"/>
                  <w:marTop w:val="0"/>
                  <w:marBottom w:val="0"/>
                  <w:divBdr>
                    <w:top w:val="none" w:sz="0" w:space="0" w:color="auto"/>
                    <w:left w:val="none" w:sz="0" w:space="0" w:color="auto"/>
                    <w:bottom w:val="none" w:sz="0" w:space="0" w:color="auto"/>
                    <w:right w:val="none" w:sz="0" w:space="0" w:color="auto"/>
                  </w:divBdr>
                  <w:divsChild>
                    <w:div w:id="415714955">
                      <w:marLeft w:val="0"/>
                      <w:marRight w:val="0"/>
                      <w:marTop w:val="0"/>
                      <w:marBottom w:val="0"/>
                      <w:divBdr>
                        <w:top w:val="none" w:sz="0" w:space="0" w:color="auto"/>
                        <w:left w:val="none" w:sz="0" w:space="0" w:color="auto"/>
                        <w:bottom w:val="none" w:sz="0" w:space="0" w:color="auto"/>
                        <w:right w:val="none" w:sz="0" w:space="0" w:color="auto"/>
                      </w:divBdr>
                      <w:divsChild>
                        <w:div w:id="177041637">
                          <w:marLeft w:val="0"/>
                          <w:marRight w:val="0"/>
                          <w:marTop w:val="0"/>
                          <w:marBottom w:val="0"/>
                          <w:divBdr>
                            <w:top w:val="none" w:sz="0" w:space="0" w:color="auto"/>
                            <w:left w:val="none" w:sz="0" w:space="0" w:color="auto"/>
                            <w:bottom w:val="none" w:sz="0" w:space="0" w:color="auto"/>
                            <w:right w:val="none" w:sz="0" w:space="0" w:color="auto"/>
                          </w:divBdr>
                          <w:divsChild>
                            <w:div w:id="8674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377034">
      <w:bodyDiv w:val="1"/>
      <w:marLeft w:val="0"/>
      <w:marRight w:val="0"/>
      <w:marTop w:val="0"/>
      <w:marBottom w:val="0"/>
      <w:divBdr>
        <w:top w:val="none" w:sz="0" w:space="0" w:color="auto"/>
        <w:left w:val="none" w:sz="0" w:space="0" w:color="auto"/>
        <w:bottom w:val="none" w:sz="0" w:space="0" w:color="auto"/>
        <w:right w:val="none" w:sz="0" w:space="0" w:color="auto"/>
      </w:divBdr>
    </w:div>
    <w:div w:id="611322297">
      <w:bodyDiv w:val="1"/>
      <w:marLeft w:val="0"/>
      <w:marRight w:val="0"/>
      <w:marTop w:val="0"/>
      <w:marBottom w:val="0"/>
      <w:divBdr>
        <w:top w:val="none" w:sz="0" w:space="0" w:color="auto"/>
        <w:left w:val="none" w:sz="0" w:space="0" w:color="auto"/>
        <w:bottom w:val="none" w:sz="0" w:space="0" w:color="auto"/>
        <w:right w:val="none" w:sz="0" w:space="0" w:color="auto"/>
      </w:divBdr>
      <w:divsChild>
        <w:div w:id="339477091">
          <w:marLeft w:val="0"/>
          <w:marRight w:val="0"/>
          <w:marTop w:val="0"/>
          <w:marBottom w:val="0"/>
          <w:divBdr>
            <w:top w:val="none" w:sz="0" w:space="0" w:color="auto"/>
            <w:left w:val="none" w:sz="0" w:space="0" w:color="auto"/>
            <w:bottom w:val="none" w:sz="0" w:space="0" w:color="auto"/>
            <w:right w:val="none" w:sz="0" w:space="0" w:color="auto"/>
          </w:divBdr>
          <w:divsChild>
            <w:div w:id="581572877">
              <w:marLeft w:val="0"/>
              <w:marRight w:val="0"/>
              <w:marTop w:val="0"/>
              <w:marBottom w:val="0"/>
              <w:divBdr>
                <w:top w:val="none" w:sz="0" w:space="0" w:color="auto"/>
                <w:left w:val="none" w:sz="0" w:space="0" w:color="auto"/>
                <w:bottom w:val="none" w:sz="0" w:space="0" w:color="auto"/>
                <w:right w:val="none" w:sz="0" w:space="0" w:color="auto"/>
              </w:divBdr>
              <w:divsChild>
                <w:div w:id="15014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94263">
      <w:bodyDiv w:val="1"/>
      <w:marLeft w:val="0"/>
      <w:marRight w:val="0"/>
      <w:marTop w:val="0"/>
      <w:marBottom w:val="0"/>
      <w:divBdr>
        <w:top w:val="none" w:sz="0" w:space="0" w:color="auto"/>
        <w:left w:val="none" w:sz="0" w:space="0" w:color="auto"/>
        <w:bottom w:val="none" w:sz="0" w:space="0" w:color="auto"/>
        <w:right w:val="none" w:sz="0" w:space="0" w:color="auto"/>
      </w:divBdr>
    </w:div>
    <w:div w:id="661154333">
      <w:bodyDiv w:val="1"/>
      <w:marLeft w:val="0"/>
      <w:marRight w:val="0"/>
      <w:marTop w:val="0"/>
      <w:marBottom w:val="0"/>
      <w:divBdr>
        <w:top w:val="none" w:sz="0" w:space="0" w:color="auto"/>
        <w:left w:val="none" w:sz="0" w:space="0" w:color="auto"/>
        <w:bottom w:val="none" w:sz="0" w:space="0" w:color="auto"/>
        <w:right w:val="none" w:sz="0" w:space="0" w:color="auto"/>
      </w:divBdr>
      <w:divsChild>
        <w:div w:id="216551627">
          <w:marLeft w:val="0"/>
          <w:marRight w:val="0"/>
          <w:marTop w:val="0"/>
          <w:marBottom w:val="0"/>
          <w:divBdr>
            <w:top w:val="none" w:sz="0" w:space="0" w:color="auto"/>
            <w:left w:val="none" w:sz="0" w:space="0" w:color="auto"/>
            <w:bottom w:val="none" w:sz="0" w:space="0" w:color="auto"/>
            <w:right w:val="none" w:sz="0" w:space="0" w:color="auto"/>
          </w:divBdr>
          <w:divsChild>
            <w:div w:id="1272972492">
              <w:marLeft w:val="0"/>
              <w:marRight w:val="0"/>
              <w:marTop w:val="0"/>
              <w:marBottom w:val="0"/>
              <w:divBdr>
                <w:top w:val="none" w:sz="0" w:space="0" w:color="auto"/>
                <w:left w:val="none" w:sz="0" w:space="0" w:color="auto"/>
                <w:bottom w:val="none" w:sz="0" w:space="0" w:color="auto"/>
                <w:right w:val="none" w:sz="0" w:space="0" w:color="auto"/>
              </w:divBdr>
              <w:divsChild>
                <w:div w:id="82779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864294">
      <w:bodyDiv w:val="1"/>
      <w:marLeft w:val="0"/>
      <w:marRight w:val="0"/>
      <w:marTop w:val="0"/>
      <w:marBottom w:val="0"/>
      <w:divBdr>
        <w:top w:val="none" w:sz="0" w:space="0" w:color="auto"/>
        <w:left w:val="none" w:sz="0" w:space="0" w:color="auto"/>
        <w:bottom w:val="none" w:sz="0" w:space="0" w:color="auto"/>
        <w:right w:val="none" w:sz="0" w:space="0" w:color="auto"/>
      </w:divBdr>
      <w:divsChild>
        <w:div w:id="132874150">
          <w:marLeft w:val="0"/>
          <w:marRight w:val="0"/>
          <w:marTop w:val="0"/>
          <w:marBottom w:val="0"/>
          <w:divBdr>
            <w:top w:val="none" w:sz="0" w:space="0" w:color="auto"/>
            <w:left w:val="none" w:sz="0" w:space="0" w:color="auto"/>
            <w:bottom w:val="none" w:sz="0" w:space="0" w:color="auto"/>
            <w:right w:val="none" w:sz="0" w:space="0" w:color="auto"/>
          </w:divBdr>
          <w:divsChild>
            <w:div w:id="1311982143">
              <w:marLeft w:val="0"/>
              <w:marRight w:val="0"/>
              <w:marTop w:val="0"/>
              <w:marBottom w:val="0"/>
              <w:divBdr>
                <w:top w:val="none" w:sz="0" w:space="0" w:color="auto"/>
                <w:left w:val="none" w:sz="0" w:space="0" w:color="auto"/>
                <w:bottom w:val="none" w:sz="0" w:space="0" w:color="auto"/>
                <w:right w:val="none" w:sz="0" w:space="0" w:color="auto"/>
              </w:divBdr>
              <w:divsChild>
                <w:div w:id="297419022">
                  <w:marLeft w:val="0"/>
                  <w:marRight w:val="0"/>
                  <w:marTop w:val="0"/>
                  <w:marBottom w:val="0"/>
                  <w:divBdr>
                    <w:top w:val="none" w:sz="0" w:space="0" w:color="auto"/>
                    <w:left w:val="none" w:sz="0" w:space="0" w:color="auto"/>
                    <w:bottom w:val="none" w:sz="0" w:space="0" w:color="auto"/>
                    <w:right w:val="none" w:sz="0" w:space="0" w:color="auto"/>
                  </w:divBdr>
                  <w:divsChild>
                    <w:div w:id="258296551">
                      <w:marLeft w:val="0"/>
                      <w:marRight w:val="0"/>
                      <w:marTop w:val="0"/>
                      <w:marBottom w:val="0"/>
                      <w:divBdr>
                        <w:top w:val="none" w:sz="0" w:space="0" w:color="auto"/>
                        <w:left w:val="none" w:sz="0" w:space="0" w:color="auto"/>
                        <w:bottom w:val="none" w:sz="0" w:space="0" w:color="auto"/>
                        <w:right w:val="none" w:sz="0" w:space="0" w:color="auto"/>
                      </w:divBdr>
                      <w:divsChild>
                        <w:div w:id="1703169570">
                          <w:marLeft w:val="0"/>
                          <w:marRight w:val="0"/>
                          <w:marTop w:val="0"/>
                          <w:marBottom w:val="0"/>
                          <w:divBdr>
                            <w:top w:val="none" w:sz="0" w:space="0" w:color="auto"/>
                            <w:left w:val="none" w:sz="0" w:space="0" w:color="auto"/>
                            <w:bottom w:val="none" w:sz="0" w:space="0" w:color="auto"/>
                            <w:right w:val="none" w:sz="0" w:space="0" w:color="auto"/>
                          </w:divBdr>
                          <w:divsChild>
                            <w:div w:id="183332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79182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01">
          <w:marLeft w:val="0"/>
          <w:marRight w:val="0"/>
          <w:marTop w:val="0"/>
          <w:marBottom w:val="0"/>
          <w:divBdr>
            <w:top w:val="none" w:sz="0" w:space="0" w:color="auto"/>
            <w:left w:val="none" w:sz="0" w:space="0" w:color="auto"/>
            <w:bottom w:val="none" w:sz="0" w:space="0" w:color="auto"/>
            <w:right w:val="none" w:sz="0" w:space="0" w:color="auto"/>
          </w:divBdr>
          <w:divsChild>
            <w:div w:id="1594626895">
              <w:marLeft w:val="0"/>
              <w:marRight w:val="0"/>
              <w:marTop w:val="0"/>
              <w:marBottom w:val="0"/>
              <w:divBdr>
                <w:top w:val="none" w:sz="0" w:space="0" w:color="auto"/>
                <w:left w:val="none" w:sz="0" w:space="0" w:color="auto"/>
                <w:bottom w:val="none" w:sz="0" w:space="0" w:color="auto"/>
                <w:right w:val="none" w:sz="0" w:space="0" w:color="auto"/>
              </w:divBdr>
              <w:divsChild>
                <w:div w:id="191269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2797">
      <w:bodyDiv w:val="1"/>
      <w:marLeft w:val="0"/>
      <w:marRight w:val="0"/>
      <w:marTop w:val="0"/>
      <w:marBottom w:val="0"/>
      <w:divBdr>
        <w:top w:val="none" w:sz="0" w:space="0" w:color="auto"/>
        <w:left w:val="none" w:sz="0" w:space="0" w:color="auto"/>
        <w:bottom w:val="none" w:sz="0" w:space="0" w:color="auto"/>
        <w:right w:val="none" w:sz="0" w:space="0" w:color="auto"/>
      </w:divBdr>
      <w:divsChild>
        <w:div w:id="1492671195">
          <w:marLeft w:val="0"/>
          <w:marRight w:val="0"/>
          <w:marTop w:val="0"/>
          <w:marBottom w:val="0"/>
          <w:divBdr>
            <w:top w:val="none" w:sz="0" w:space="0" w:color="auto"/>
            <w:left w:val="none" w:sz="0" w:space="0" w:color="auto"/>
            <w:bottom w:val="none" w:sz="0" w:space="0" w:color="auto"/>
            <w:right w:val="none" w:sz="0" w:space="0" w:color="auto"/>
          </w:divBdr>
          <w:divsChild>
            <w:div w:id="1676763008">
              <w:marLeft w:val="0"/>
              <w:marRight w:val="0"/>
              <w:marTop w:val="0"/>
              <w:marBottom w:val="0"/>
              <w:divBdr>
                <w:top w:val="none" w:sz="0" w:space="0" w:color="auto"/>
                <w:left w:val="none" w:sz="0" w:space="0" w:color="auto"/>
                <w:bottom w:val="none" w:sz="0" w:space="0" w:color="auto"/>
                <w:right w:val="none" w:sz="0" w:space="0" w:color="auto"/>
              </w:divBdr>
              <w:divsChild>
                <w:div w:id="20442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93056">
      <w:bodyDiv w:val="1"/>
      <w:marLeft w:val="0"/>
      <w:marRight w:val="0"/>
      <w:marTop w:val="0"/>
      <w:marBottom w:val="0"/>
      <w:divBdr>
        <w:top w:val="none" w:sz="0" w:space="0" w:color="auto"/>
        <w:left w:val="none" w:sz="0" w:space="0" w:color="auto"/>
        <w:bottom w:val="none" w:sz="0" w:space="0" w:color="auto"/>
        <w:right w:val="none" w:sz="0" w:space="0" w:color="auto"/>
      </w:divBdr>
      <w:divsChild>
        <w:div w:id="1308827508">
          <w:marLeft w:val="0"/>
          <w:marRight w:val="0"/>
          <w:marTop w:val="0"/>
          <w:marBottom w:val="0"/>
          <w:divBdr>
            <w:top w:val="none" w:sz="0" w:space="0" w:color="auto"/>
            <w:left w:val="none" w:sz="0" w:space="0" w:color="auto"/>
            <w:bottom w:val="none" w:sz="0" w:space="0" w:color="auto"/>
            <w:right w:val="none" w:sz="0" w:space="0" w:color="auto"/>
          </w:divBdr>
          <w:divsChild>
            <w:div w:id="1419669560">
              <w:marLeft w:val="0"/>
              <w:marRight w:val="0"/>
              <w:marTop w:val="0"/>
              <w:marBottom w:val="0"/>
              <w:divBdr>
                <w:top w:val="none" w:sz="0" w:space="0" w:color="auto"/>
                <w:left w:val="none" w:sz="0" w:space="0" w:color="auto"/>
                <w:bottom w:val="none" w:sz="0" w:space="0" w:color="auto"/>
                <w:right w:val="none" w:sz="0" w:space="0" w:color="auto"/>
              </w:divBdr>
              <w:divsChild>
                <w:div w:id="94254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57803">
      <w:bodyDiv w:val="1"/>
      <w:marLeft w:val="0"/>
      <w:marRight w:val="0"/>
      <w:marTop w:val="0"/>
      <w:marBottom w:val="0"/>
      <w:divBdr>
        <w:top w:val="none" w:sz="0" w:space="0" w:color="auto"/>
        <w:left w:val="none" w:sz="0" w:space="0" w:color="auto"/>
        <w:bottom w:val="none" w:sz="0" w:space="0" w:color="auto"/>
        <w:right w:val="none" w:sz="0" w:space="0" w:color="auto"/>
      </w:divBdr>
      <w:divsChild>
        <w:div w:id="1623465116">
          <w:marLeft w:val="0"/>
          <w:marRight w:val="0"/>
          <w:marTop w:val="0"/>
          <w:marBottom w:val="0"/>
          <w:divBdr>
            <w:top w:val="none" w:sz="0" w:space="0" w:color="auto"/>
            <w:left w:val="none" w:sz="0" w:space="0" w:color="auto"/>
            <w:bottom w:val="none" w:sz="0" w:space="0" w:color="auto"/>
            <w:right w:val="none" w:sz="0" w:space="0" w:color="auto"/>
          </w:divBdr>
          <w:divsChild>
            <w:div w:id="1545554088">
              <w:marLeft w:val="0"/>
              <w:marRight w:val="0"/>
              <w:marTop w:val="0"/>
              <w:marBottom w:val="0"/>
              <w:divBdr>
                <w:top w:val="none" w:sz="0" w:space="0" w:color="auto"/>
                <w:left w:val="none" w:sz="0" w:space="0" w:color="auto"/>
                <w:bottom w:val="none" w:sz="0" w:space="0" w:color="auto"/>
                <w:right w:val="none" w:sz="0" w:space="0" w:color="auto"/>
              </w:divBdr>
              <w:divsChild>
                <w:div w:id="2014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158123">
      <w:bodyDiv w:val="1"/>
      <w:marLeft w:val="0"/>
      <w:marRight w:val="0"/>
      <w:marTop w:val="0"/>
      <w:marBottom w:val="0"/>
      <w:divBdr>
        <w:top w:val="none" w:sz="0" w:space="0" w:color="auto"/>
        <w:left w:val="none" w:sz="0" w:space="0" w:color="auto"/>
        <w:bottom w:val="none" w:sz="0" w:space="0" w:color="auto"/>
        <w:right w:val="none" w:sz="0" w:space="0" w:color="auto"/>
      </w:divBdr>
      <w:divsChild>
        <w:div w:id="1684741353">
          <w:marLeft w:val="0"/>
          <w:marRight w:val="0"/>
          <w:marTop w:val="0"/>
          <w:marBottom w:val="0"/>
          <w:divBdr>
            <w:top w:val="none" w:sz="0" w:space="0" w:color="auto"/>
            <w:left w:val="none" w:sz="0" w:space="0" w:color="auto"/>
            <w:bottom w:val="none" w:sz="0" w:space="0" w:color="auto"/>
            <w:right w:val="none" w:sz="0" w:space="0" w:color="auto"/>
          </w:divBdr>
          <w:divsChild>
            <w:div w:id="122504740">
              <w:marLeft w:val="0"/>
              <w:marRight w:val="0"/>
              <w:marTop w:val="0"/>
              <w:marBottom w:val="0"/>
              <w:divBdr>
                <w:top w:val="none" w:sz="0" w:space="0" w:color="auto"/>
                <w:left w:val="none" w:sz="0" w:space="0" w:color="auto"/>
                <w:bottom w:val="none" w:sz="0" w:space="0" w:color="auto"/>
                <w:right w:val="none" w:sz="0" w:space="0" w:color="auto"/>
              </w:divBdr>
              <w:divsChild>
                <w:div w:id="1432241547">
                  <w:marLeft w:val="0"/>
                  <w:marRight w:val="0"/>
                  <w:marTop w:val="0"/>
                  <w:marBottom w:val="0"/>
                  <w:divBdr>
                    <w:top w:val="none" w:sz="0" w:space="0" w:color="auto"/>
                    <w:left w:val="none" w:sz="0" w:space="0" w:color="auto"/>
                    <w:bottom w:val="none" w:sz="0" w:space="0" w:color="auto"/>
                    <w:right w:val="none" w:sz="0" w:space="0" w:color="auto"/>
                  </w:divBdr>
                  <w:divsChild>
                    <w:div w:id="21068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69671">
      <w:bodyDiv w:val="1"/>
      <w:marLeft w:val="0"/>
      <w:marRight w:val="0"/>
      <w:marTop w:val="0"/>
      <w:marBottom w:val="0"/>
      <w:divBdr>
        <w:top w:val="none" w:sz="0" w:space="0" w:color="auto"/>
        <w:left w:val="none" w:sz="0" w:space="0" w:color="auto"/>
        <w:bottom w:val="none" w:sz="0" w:space="0" w:color="auto"/>
        <w:right w:val="none" w:sz="0" w:space="0" w:color="auto"/>
      </w:divBdr>
      <w:divsChild>
        <w:div w:id="762452381">
          <w:marLeft w:val="0"/>
          <w:marRight w:val="0"/>
          <w:marTop w:val="0"/>
          <w:marBottom w:val="0"/>
          <w:divBdr>
            <w:top w:val="none" w:sz="0" w:space="0" w:color="auto"/>
            <w:left w:val="none" w:sz="0" w:space="0" w:color="auto"/>
            <w:bottom w:val="none" w:sz="0" w:space="0" w:color="auto"/>
            <w:right w:val="none" w:sz="0" w:space="0" w:color="auto"/>
          </w:divBdr>
          <w:divsChild>
            <w:div w:id="1161042500">
              <w:marLeft w:val="0"/>
              <w:marRight w:val="0"/>
              <w:marTop w:val="0"/>
              <w:marBottom w:val="0"/>
              <w:divBdr>
                <w:top w:val="none" w:sz="0" w:space="0" w:color="auto"/>
                <w:left w:val="none" w:sz="0" w:space="0" w:color="auto"/>
                <w:bottom w:val="none" w:sz="0" w:space="0" w:color="auto"/>
                <w:right w:val="none" w:sz="0" w:space="0" w:color="auto"/>
              </w:divBdr>
              <w:divsChild>
                <w:div w:id="321154888">
                  <w:marLeft w:val="0"/>
                  <w:marRight w:val="0"/>
                  <w:marTop w:val="0"/>
                  <w:marBottom w:val="0"/>
                  <w:divBdr>
                    <w:top w:val="none" w:sz="0" w:space="0" w:color="auto"/>
                    <w:left w:val="none" w:sz="0" w:space="0" w:color="auto"/>
                    <w:bottom w:val="none" w:sz="0" w:space="0" w:color="auto"/>
                    <w:right w:val="none" w:sz="0" w:space="0" w:color="auto"/>
                  </w:divBdr>
                  <w:divsChild>
                    <w:div w:id="44577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680813">
      <w:bodyDiv w:val="1"/>
      <w:marLeft w:val="0"/>
      <w:marRight w:val="0"/>
      <w:marTop w:val="0"/>
      <w:marBottom w:val="0"/>
      <w:divBdr>
        <w:top w:val="none" w:sz="0" w:space="0" w:color="auto"/>
        <w:left w:val="none" w:sz="0" w:space="0" w:color="auto"/>
        <w:bottom w:val="none" w:sz="0" w:space="0" w:color="auto"/>
        <w:right w:val="none" w:sz="0" w:space="0" w:color="auto"/>
      </w:divBdr>
      <w:divsChild>
        <w:div w:id="347341405">
          <w:marLeft w:val="0"/>
          <w:marRight w:val="0"/>
          <w:marTop w:val="0"/>
          <w:marBottom w:val="0"/>
          <w:divBdr>
            <w:top w:val="none" w:sz="0" w:space="0" w:color="auto"/>
            <w:left w:val="none" w:sz="0" w:space="0" w:color="auto"/>
            <w:bottom w:val="none" w:sz="0" w:space="0" w:color="auto"/>
            <w:right w:val="none" w:sz="0" w:space="0" w:color="auto"/>
          </w:divBdr>
          <w:divsChild>
            <w:div w:id="2011979379">
              <w:marLeft w:val="0"/>
              <w:marRight w:val="0"/>
              <w:marTop w:val="0"/>
              <w:marBottom w:val="0"/>
              <w:divBdr>
                <w:top w:val="none" w:sz="0" w:space="0" w:color="auto"/>
                <w:left w:val="none" w:sz="0" w:space="0" w:color="auto"/>
                <w:bottom w:val="none" w:sz="0" w:space="0" w:color="auto"/>
                <w:right w:val="none" w:sz="0" w:space="0" w:color="auto"/>
              </w:divBdr>
              <w:divsChild>
                <w:div w:id="845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803874">
      <w:bodyDiv w:val="1"/>
      <w:marLeft w:val="0"/>
      <w:marRight w:val="0"/>
      <w:marTop w:val="0"/>
      <w:marBottom w:val="0"/>
      <w:divBdr>
        <w:top w:val="none" w:sz="0" w:space="0" w:color="auto"/>
        <w:left w:val="none" w:sz="0" w:space="0" w:color="auto"/>
        <w:bottom w:val="none" w:sz="0" w:space="0" w:color="auto"/>
        <w:right w:val="none" w:sz="0" w:space="0" w:color="auto"/>
      </w:divBdr>
      <w:divsChild>
        <w:div w:id="1595017872">
          <w:marLeft w:val="0"/>
          <w:marRight w:val="0"/>
          <w:marTop w:val="0"/>
          <w:marBottom w:val="0"/>
          <w:divBdr>
            <w:top w:val="none" w:sz="0" w:space="0" w:color="auto"/>
            <w:left w:val="none" w:sz="0" w:space="0" w:color="auto"/>
            <w:bottom w:val="none" w:sz="0" w:space="0" w:color="auto"/>
            <w:right w:val="none" w:sz="0" w:space="0" w:color="auto"/>
          </w:divBdr>
          <w:divsChild>
            <w:div w:id="1134955300">
              <w:marLeft w:val="0"/>
              <w:marRight w:val="0"/>
              <w:marTop w:val="0"/>
              <w:marBottom w:val="0"/>
              <w:divBdr>
                <w:top w:val="none" w:sz="0" w:space="0" w:color="auto"/>
                <w:left w:val="none" w:sz="0" w:space="0" w:color="auto"/>
                <w:bottom w:val="none" w:sz="0" w:space="0" w:color="auto"/>
                <w:right w:val="none" w:sz="0" w:space="0" w:color="auto"/>
              </w:divBdr>
              <w:divsChild>
                <w:div w:id="111078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476246">
      <w:bodyDiv w:val="1"/>
      <w:marLeft w:val="0"/>
      <w:marRight w:val="0"/>
      <w:marTop w:val="0"/>
      <w:marBottom w:val="0"/>
      <w:divBdr>
        <w:top w:val="none" w:sz="0" w:space="0" w:color="auto"/>
        <w:left w:val="none" w:sz="0" w:space="0" w:color="auto"/>
        <w:bottom w:val="none" w:sz="0" w:space="0" w:color="auto"/>
        <w:right w:val="none" w:sz="0" w:space="0" w:color="auto"/>
      </w:divBdr>
    </w:div>
    <w:div w:id="986125739">
      <w:bodyDiv w:val="1"/>
      <w:marLeft w:val="0"/>
      <w:marRight w:val="0"/>
      <w:marTop w:val="0"/>
      <w:marBottom w:val="0"/>
      <w:divBdr>
        <w:top w:val="none" w:sz="0" w:space="0" w:color="auto"/>
        <w:left w:val="none" w:sz="0" w:space="0" w:color="auto"/>
        <w:bottom w:val="none" w:sz="0" w:space="0" w:color="auto"/>
        <w:right w:val="none" w:sz="0" w:space="0" w:color="auto"/>
      </w:divBdr>
      <w:divsChild>
        <w:div w:id="1179733543">
          <w:marLeft w:val="0"/>
          <w:marRight w:val="0"/>
          <w:marTop w:val="0"/>
          <w:marBottom w:val="0"/>
          <w:divBdr>
            <w:top w:val="none" w:sz="0" w:space="0" w:color="auto"/>
            <w:left w:val="none" w:sz="0" w:space="0" w:color="auto"/>
            <w:bottom w:val="none" w:sz="0" w:space="0" w:color="auto"/>
            <w:right w:val="none" w:sz="0" w:space="0" w:color="auto"/>
          </w:divBdr>
          <w:divsChild>
            <w:div w:id="587688485">
              <w:marLeft w:val="0"/>
              <w:marRight w:val="0"/>
              <w:marTop w:val="0"/>
              <w:marBottom w:val="0"/>
              <w:divBdr>
                <w:top w:val="none" w:sz="0" w:space="0" w:color="auto"/>
                <w:left w:val="none" w:sz="0" w:space="0" w:color="auto"/>
                <w:bottom w:val="none" w:sz="0" w:space="0" w:color="auto"/>
                <w:right w:val="none" w:sz="0" w:space="0" w:color="auto"/>
              </w:divBdr>
              <w:divsChild>
                <w:div w:id="179466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07427">
      <w:bodyDiv w:val="1"/>
      <w:marLeft w:val="0"/>
      <w:marRight w:val="0"/>
      <w:marTop w:val="0"/>
      <w:marBottom w:val="0"/>
      <w:divBdr>
        <w:top w:val="none" w:sz="0" w:space="0" w:color="auto"/>
        <w:left w:val="none" w:sz="0" w:space="0" w:color="auto"/>
        <w:bottom w:val="none" w:sz="0" w:space="0" w:color="auto"/>
        <w:right w:val="none" w:sz="0" w:space="0" w:color="auto"/>
      </w:divBdr>
      <w:divsChild>
        <w:div w:id="1600066109">
          <w:marLeft w:val="0"/>
          <w:marRight w:val="0"/>
          <w:marTop w:val="0"/>
          <w:marBottom w:val="0"/>
          <w:divBdr>
            <w:top w:val="none" w:sz="0" w:space="0" w:color="auto"/>
            <w:left w:val="none" w:sz="0" w:space="0" w:color="auto"/>
            <w:bottom w:val="none" w:sz="0" w:space="0" w:color="auto"/>
            <w:right w:val="none" w:sz="0" w:space="0" w:color="auto"/>
          </w:divBdr>
          <w:divsChild>
            <w:div w:id="1557274308">
              <w:marLeft w:val="0"/>
              <w:marRight w:val="0"/>
              <w:marTop w:val="0"/>
              <w:marBottom w:val="0"/>
              <w:divBdr>
                <w:top w:val="none" w:sz="0" w:space="0" w:color="auto"/>
                <w:left w:val="none" w:sz="0" w:space="0" w:color="auto"/>
                <w:bottom w:val="none" w:sz="0" w:space="0" w:color="auto"/>
                <w:right w:val="none" w:sz="0" w:space="0" w:color="auto"/>
              </w:divBdr>
              <w:divsChild>
                <w:div w:id="1745420334">
                  <w:marLeft w:val="0"/>
                  <w:marRight w:val="0"/>
                  <w:marTop w:val="0"/>
                  <w:marBottom w:val="0"/>
                  <w:divBdr>
                    <w:top w:val="none" w:sz="0" w:space="0" w:color="auto"/>
                    <w:left w:val="none" w:sz="0" w:space="0" w:color="auto"/>
                    <w:bottom w:val="none" w:sz="0" w:space="0" w:color="auto"/>
                    <w:right w:val="none" w:sz="0" w:space="0" w:color="auto"/>
                  </w:divBdr>
                  <w:divsChild>
                    <w:div w:id="7813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379594">
      <w:bodyDiv w:val="1"/>
      <w:marLeft w:val="0"/>
      <w:marRight w:val="0"/>
      <w:marTop w:val="0"/>
      <w:marBottom w:val="0"/>
      <w:divBdr>
        <w:top w:val="none" w:sz="0" w:space="0" w:color="auto"/>
        <w:left w:val="none" w:sz="0" w:space="0" w:color="auto"/>
        <w:bottom w:val="none" w:sz="0" w:space="0" w:color="auto"/>
        <w:right w:val="none" w:sz="0" w:space="0" w:color="auto"/>
      </w:divBdr>
      <w:divsChild>
        <w:div w:id="1207523793">
          <w:marLeft w:val="0"/>
          <w:marRight w:val="0"/>
          <w:marTop w:val="0"/>
          <w:marBottom w:val="0"/>
          <w:divBdr>
            <w:top w:val="none" w:sz="0" w:space="0" w:color="auto"/>
            <w:left w:val="none" w:sz="0" w:space="0" w:color="auto"/>
            <w:bottom w:val="none" w:sz="0" w:space="0" w:color="auto"/>
            <w:right w:val="none" w:sz="0" w:space="0" w:color="auto"/>
          </w:divBdr>
          <w:divsChild>
            <w:div w:id="343359701">
              <w:marLeft w:val="0"/>
              <w:marRight w:val="0"/>
              <w:marTop w:val="0"/>
              <w:marBottom w:val="0"/>
              <w:divBdr>
                <w:top w:val="none" w:sz="0" w:space="0" w:color="auto"/>
                <w:left w:val="none" w:sz="0" w:space="0" w:color="auto"/>
                <w:bottom w:val="none" w:sz="0" w:space="0" w:color="auto"/>
                <w:right w:val="none" w:sz="0" w:space="0" w:color="auto"/>
              </w:divBdr>
              <w:divsChild>
                <w:div w:id="162473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8911">
      <w:bodyDiv w:val="1"/>
      <w:marLeft w:val="0"/>
      <w:marRight w:val="0"/>
      <w:marTop w:val="0"/>
      <w:marBottom w:val="0"/>
      <w:divBdr>
        <w:top w:val="none" w:sz="0" w:space="0" w:color="auto"/>
        <w:left w:val="none" w:sz="0" w:space="0" w:color="auto"/>
        <w:bottom w:val="none" w:sz="0" w:space="0" w:color="auto"/>
        <w:right w:val="none" w:sz="0" w:space="0" w:color="auto"/>
      </w:divBdr>
      <w:divsChild>
        <w:div w:id="2000887138">
          <w:marLeft w:val="0"/>
          <w:marRight w:val="0"/>
          <w:marTop w:val="0"/>
          <w:marBottom w:val="0"/>
          <w:divBdr>
            <w:top w:val="none" w:sz="0" w:space="0" w:color="auto"/>
            <w:left w:val="none" w:sz="0" w:space="0" w:color="auto"/>
            <w:bottom w:val="none" w:sz="0" w:space="0" w:color="auto"/>
            <w:right w:val="none" w:sz="0" w:space="0" w:color="auto"/>
          </w:divBdr>
          <w:divsChild>
            <w:div w:id="698895742">
              <w:marLeft w:val="0"/>
              <w:marRight w:val="0"/>
              <w:marTop w:val="0"/>
              <w:marBottom w:val="0"/>
              <w:divBdr>
                <w:top w:val="none" w:sz="0" w:space="0" w:color="auto"/>
                <w:left w:val="none" w:sz="0" w:space="0" w:color="auto"/>
                <w:bottom w:val="none" w:sz="0" w:space="0" w:color="auto"/>
                <w:right w:val="none" w:sz="0" w:space="0" w:color="auto"/>
              </w:divBdr>
              <w:divsChild>
                <w:div w:id="11143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88667">
      <w:bodyDiv w:val="1"/>
      <w:marLeft w:val="0"/>
      <w:marRight w:val="0"/>
      <w:marTop w:val="0"/>
      <w:marBottom w:val="0"/>
      <w:divBdr>
        <w:top w:val="none" w:sz="0" w:space="0" w:color="auto"/>
        <w:left w:val="none" w:sz="0" w:space="0" w:color="auto"/>
        <w:bottom w:val="none" w:sz="0" w:space="0" w:color="auto"/>
        <w:right w:val="none" w:sz="0" w:space="0" w:color="auto"/>
      </w:divBdr>
    </w:div>
    <w:div w:id="1055737754">
      <w:bodyDiv w:val="1"/>
      <w:marLeft w:val="0"/>
      <w:marRight w:val="0"/>
      <w:marTop w:val="0"/>
      <w:marBottom w:val="0"/>
      <w:divBdr>
        <w:top w:val="none" w:sz="0" w:space="0" w:color="auto"/>
        <w:left w:val="none" w:sz="0" w:space="0" w:color="auto"/>
        <w:bottom w:val="none" w:sz="0" w:space="0" w:color="auto"/>
        <w:right w:val="none" w:sz="0" w:space="0" w:color="auto"/>
      </w:divBdr>
    </w:div>
    <w:div w:id="1059861062">
      <w:bodyDiv w:val="1"/>
      <w:marLeft w:val="0"/>
      <w:marRight w:val="0"/>
      <w:marTop w:val="0"/>
      <w:marBottom w:val="0"/>
      <w:divBdr>
        <w:top w:val="none" w:sz="0" w:space="0" w:color="auto"/>
        <w:left w:val="none" w:sz="0" w:space="0" w:color="auto"/>
        <w:bottom w:val="none" w:sz="0" w:space="0" w:color="auto"/>
        <w:right w:val="none" w:sz="0" w:space="0" w:color="auto"/>
      </w:divBdr>
    </w:div>
    <w:div w:id="1065178762">
      <w:bodyDiv w:val="1"/>
      <w:marLeft w:val="0"/>
      <w:marRight w:val="0"/>
      <w:marTop w:val="0"/>
      <w:marBottom w:val="0"/>
      <w:divBdr>
        <w:top w:val="none" w:sz="0" w:space="0" w:color="auto"/>
        <w:left w:val="none" w:sz="0" w:space="0" w:color="auto"/>
        <w:bottom w:val="none" w:sz="0" w:space="0" w:color="auto"/>
        <w:right w:val="none" w:sz="0" w:space="0" w:color="auto"/>
      </w:divBdr>
      <w:divsChild>
        <w:div w:id="1266187201">
          <w:marLeft w:val="0"/>
          <w:marRight w:val="0"/>
          <w:marTop w:val="0"/>
          <w:marBottom w:val="0"/>
          <w:divBdr>
            <w:top w:val="none" w:sz="0" w:space="0" w:color="auto"/>
            <w:left w:val="none" w:sz="0" w:space="0" w:color="auto"/>
            <w:bottom w:val="none" w:sz="0" w:space="0" w:color="auto"/>
            <w:right w:val="none" w:sz="0" w:space="0" w:color="auto"/>
          </w:divBdr>
          <w:divsChild>
            <w:div w:id="1912542488">
              <w:marLeft w:val="0"/>
              <w:marRight w:val="0"/>
              <w:marTop w:val="0"/>
              <w:marBottom w:val="0"/>
              <w:divBdr>
                <w:top w:val="none" w:sz="0" w:space="0" w:color="auto"/>
                <w:left w:val="none" w:sz="0" w:space="0" w:color="auto"/>
                <w:bottom w:val="none" w:sz="0" w:space="0" w:color="auto"/>
                <w:right w:val="none" w:sz="0" w:space="0" w:color="auto"/>
              </w:divBdr>
              <w:divsChild>
                <w:div w:id="2293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030250">
      <w:bodyDiv w:val="1"/>
      <w:marLeft w:val="0"/>
      <w:marRight w:val="0"/>
      <w:marTop w:val="0"/>
      <w:marBottom w:val="0"/>
      <w:divBdr>
        <w:top w:val="none" w:sz="0" w:space="0" w:color="auto"/>
        <w:left w:val="none" w:sz="0" w:space="0" w:color="auto"/>
        <w:bottom w:val="none" w:sz="0" w:space="0" w:color="auto"/>
        <w:right w:val="none" w:sz="0" w:space="0" w:color="auto"/>
      </w:divBdr>
      <w:divsChild>
        <w:div w:id="1150094919">
          <w:marLeft w:val="0"/>
          <w:marRight w:val="0"/>
          <w:marTop w:val="0"/>
          <w:marBottom w:val="0"/>
          <w:divBdr>
            <w:top w:val="none" w:sz="0" w:space="0" w:color="auto"/>
            <w:left w:val="none" w:sz="0" w:space="0" w:color="auto"/>
            <w:bottom w:val="none" w:sz="0" w:space="0" w:color="auto"/>
            <w:right w:val="none" w:sz="0" w:space="0" w:color="auto"/>
          </w:divBdr>
          <w:divsChild>
            <w:div w:id="892690447">
              <w:marLeft w:val="0"/>
              <w:marRight w:val="0"/>
              <w:marTop w:val="0"/>
              <w:marBottom w:val="0"/>
              <w:divBdr>
                <w:top w:val="none" w:sz="0" w:space="0" w:color="auto"/>
                <w:left w:val="none" w:sz="0" w:space="0" w:color="auto"/>
                <w:bottom w:val="none" w:sz="0" w:space="0" w:color="auto"/>
                <w:right w:val="none" w:sz="0" w:space="0" w:color="auto"/>
              </w:divBdr>
              <w:divsChild>
                <w:div w:id="1188760755">
                  <w:marLeft w:val="0"/>
                  <w:marRight w:val="0"/>
                  <w:marTop w:val="0"/>
                  <w:marBottom w:val="0"/>
                  <w:divBdr>
                    <w:top w:val="none" w:sz="0" w:space="0" w:color="auto"/>
                    <w:left w:val="none" w:sz="0" w:space="0" w:color="auto"/>
                    <w:bottom w:val="none" w:sz="0" w:space="0" w:color="auto"/>
                    <w:right w:val="none" w:sz="0" w:space="0" w:color="auto"/>
                  </w:divBdr>
                  <w:divsChild>
                    <w:div w:id="1737778208">
                      <w:marLeft w:val="0"/>
                      <w:marRight w:val="0"/>
                      <w:marTop w:val="0"/>
                      <w:marBottom w:val="0"/>
                      <w:divBdr>
                        <w:top w:val="none" w:sz="0" w:space="0" w:color="auto"/>
                        <w:left w:val="none" w:sz="0" w:space="0" w:color="auto"/>
                        <w:bottom w:val="none" w:sz="0" w:space="0" w:color="auto"/>
                        <w:right w:val="none" w:sz="0" w:space="0" w:color="auto"/>
                      </w:divBdr>
                      <w:divsChild>
                        <w:div w:id="280692792">
                          <w:marLeft w:val="0"/>
                          <w:marRight w:val="0"/>
                          <w:marTop w:val="0"/>
                          <w:marBottom w:val="0"/>
                          <w:divBdr>
                            <w:top w:val="none" w:sz="0" w:space="0" w:color="auto"/>
                            <w:left w:val="none" w:sz="0" w:space="0" w:color="auto"/>
                            <w:bottom w:val="none" w:sz="0" w:space="0" w:color="auto"/>
                            <w:right w:val="none" w:sz="0" w:space="0" w:color="auto"/>
                          </w:divBdr>
                          <w:divsChild>
                            <w:div w:id="3963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022975">
      <w:bodyDiv w:val="1"/>
      <w:marLeft w:val="0"/>
      <w:marRight w:val="0"/>
      <w:marTop w:val="0"/>
      <w:marBottom w:val="0"/>
      <w:divBdr>
        <w:top w:val="none" w:sz="0" w:space="0" w:color="auto"/>
        <w:left w:val="none" w:sz="0" w:space="0" w:color="auto"/>
        <w:bottom w:val="none" w:sz="0" w:space="0" w:color="auto"/>
        <w:right w:val="none" w:sz="0" w:space="0" w:color="auto"/>
      </w:divBdr>
      <w:divsChild>
        <w:div w:id="2075856735">
          <w:marLeft w:val="0"/>
          <w:marRight w:val="0"/>
          <w:marTop w:val="0"/>
          <w:marBottom w:val="0"/>
          <w:divBdr>
            <w:top w:val="none" w:sz="0" w:space="0" w:color="auto"/>
            <w:left w:val="none" w:sz="0" w:space="0" w:color="auto"/>
            <w:bottom w:val="none" w:sz="0" w:space="0" w:color="auto"/>
            <w:right w:val="none" w:sz="0" w:space="0" w:color="auto"/>
          </w:divBdr>
          <w:divsChild>
            <w:div w:id="766270981">
              <w:marLeft w:val="0"/>
              <w:marRight w:val="0"/>
              <w:marTop w:val="0"/>
              <w:marBottom w:val="0"/>
              <w:divBdr>
                <w:top w:val="none" w:sz="0" w:space="0" w:color="auto"/>
                <w:left w:val="none" w:sz="0" w:space="0" w:color="auto"/>
                <w:bottom w:val="none" w:sz="0" w:space="0" w:color="auto"/>
                <w:right w:val="none" w:sz="0" w:space="0" w:color="auto"/>
              </w:divBdr>
              <w:divsChild>
                <w:div w:id="58642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141569">
      <w:bodyDiv w:val="1"/>
      <w:marLeft w:val="0"/>
      <w:marRight w:val="0"/>
      <w:marTop w:val="0"/>
      <w:marBottom w:val="0"/>
      <w:divBdr>
        <w:top w:val="none" w:sz="0" w:space="0" w:color="auto"/>
        <w:left w:val="none" w:sz="0" w:space="0" w:color="auto"/>
        <w:bottom w:val="none" w:sz="0" w:space="0" w:color="auto"/>
        <w:right w:val="none" w:sz="0" w:space="0" w:color="auto"/>
      </w:divBdr>
      <w:divsChild>
        <w:div w:id="1410538910">
          <w:marLeft w:val="0"/>
          <w:marRight w:val="0"/>
          <w:marTop w:val="0"/>
          <w:marBottom w:val="0"/>
          <w:divBdr>
            <w:top w:val="none" w:sz="0" w:space="0" w:color="auto"/>
            <w:left w:val="none" w:sz="0" w:space="0" w:color="auto"/>
            <w:bottom w:val="none" w:sz="0" w:space="0" w:color="auto"/>
            <w:right w:val="none" w:sz="0" w:space="0" w:color="auto"/>
          </w:divBdr>
          <w:divsChild>
            <w:div w:id="126241396">
              <w:marLeft w:val="0"/>
              <w:marRight w:val="0"/>
              <w:marTop w:val="0"/>
              <w:marBottom w:val="0"/>
              <w:divBdr>
                <w:top w:val="none" w:sz="0" w:space="0" w:color="auto"/>
                <w:left w:val="none" w:sz="0" w:space="0" w:color="auto"/>
                <w:bottom w:val="none" w:sz="0" w:space="0" w:color="auto"/>
                <w:right w:val="none" w:sz="0" w:space="0" w:color="auto"/>
              </w:divBdr>
              <w:divsChild>
                <w:div w:id="2411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459560">
      <w:bodyDiv w:val="1"/>
      <w:marLeft w:val="0"/>
      <w:marRight w:val="0"/>
      <w:marTop w:val="0"/>
      <w:marBottom w:val="0"/>
      <w:divBdr>
        <w:top w:val="none" w:sz="0" w:space="0" w:color="auto"/>
        <w:left w:val="none" w:sz="0" w:space="0" w:color="auto"/>
        <w:bottom w:val="none" w:sz="0" w:space="0" w:color="auto"/>
        <w:right w:val="none" w:sz="0" w:space="0" w:color="auto"/>
      </w:divBdr>
    </w:div>
    <w:div w:id="1311640753">
      <w:bodyDiv w:val="1"/>
      <w:marLeft w:val="0"/>
      <w:marRight w:val="0"/>
      <w:marTop w:val="0"/>
      <w:marBottom w:val="0"/>
      <w:divBdr>
        <w:top w:val="none" w:sz="0" w:space="0" w:color="auto"/>
        <w:left w:val="none" w:sz="0" w:space="0" w:color="auto"/>
        <w:bottom w:val="none" w:sz="0" w:space="0" w:color="auto"/>
        <w:right w:val="none" w:sz="0" w:space="0" w:color="auto"/>
      </w:divBdr>
      <w:divsChild>
        <w:div w:id="2077778633">
          <w:marLeft w:val="0"/>
          <w:marRight w:val="0"/>
          <w:marTop w:val="0"/>
          <w:marBottom w:val="0"/>
          <w:divBdr>
            <w:top w:val="none" w:sz="0" w:space="0" w:color="auto"/>
            <w:left w:val="none" w:sz="0" w:space="0" w:color="auto"/>
            <w:bottom w:val="none" w:sz="0" w:space="0" w:color="auto"/>
            <w:right w:val="none" w:sz="0" w:space="0" w:color="auto"/>
          </w:divBdr>
          <w:divsChild>
            <w:div w:id="100952255">
              <w:marLeft w:val="0"/>
              <w:marRight w:val="0"/>
              <w:marTop w:val="0"/>
              <w:marBottom w:val="0"/>
              <w:divBdr>
                <w:top w:val="none" w:sz="0" w:space="0" w:color="auto"/>
                <w:left w:val="none" w:sz="0" w:space="0" w:color="auto"/>
                <w:bottom w:val="none" w:sz="0" w:space="0" w:color="auto"/>
                <w:right w:val="none" w:sz="0" w:space="0" w:color="auto"/>
              </w:divBdr>
              <w:divsChild>
                <w:div w:id="1335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931709">
      <w:bodyDiv w:val="1"/>
      <w:marLeft w:val="0"/>
      <w:marRight w:val="0"/>
      <w:marTop w:val="0"/>
      <w:marBottom w:val="0"/>
      <w:divBdr>
        <w:top w:val="none" w:sz="0" w:space="0" w:color="auto"/>
        <w:left w:val="none" w:sz="0" w:space="0" w:color="auto"/>
        <w:bottom w:val="none" w:sz="0" w:space="0" w:color="auto"/>
        <w:right w:val="none" w:sz="0" w:space="0" w:color="auto"/>
      </w:divBdr>
      <w:divsChild>
        <w:div w:id="1246766848">
          <w:marLeft w:val="0"/>
          <w:marRight w:val="0"/>
          <w:marTop w:val="0"/>
          <w:marBottom w:val="0"/>
          <w:divBdr>
            <w:top w:val="none" w:sz="0" w:space="0" w:color="auto"/>
            <w:left w:val="none" w:sz="0" w:space="0" w:color="auto"/>
            <w:bottom w:val="none" w:sz="0" w:space="0" w:color="auto"/>
            <w:right w:val="none" w:sz="0" w:space="0" w:color="auto"/>
          </w:divBdr>
          <w:divsChild>
            <w:div w:id="627972743">
              <w:marLeft w:val="0"/>
              <w:marRight w:val="0"/>
              <w:marTop w:val="0"/>
              <w:marBottom w:val="0"/>
              <w:divBdr>
                <w:top w:val="none" w:sz="0" w:space="0" w:color="auto"/>
                <w:left w:val="none" w:sz="0" w:space="0" w:color="auto"/>
                <w:bottom w:val="none" w:sz="0" w:space="0" w:color="auto"/>
                <w:right w:val="none" w:sz="0" w:space="0" w:color="auto"/>
              </w:divBdr>
              <w:divsChild>
                <w:div w:id="6655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2755">
      <w:bodyDiv w:val="1"/>
      <w:marLeft w:val="0"/>
      <w:marRight w:val="0"/>
      <w:marTop w:val="0"/>
      <w:marBottom w:val="0"/>
      <w:divBdr>
        <w:top w:val="none" w:sz="0" w:space="0" w:color="auto"/>
        <w:left w:val="none" w:sz="0" w:space="0" w:color="auto"/>
        <w:bottom w:val="none" w:sz="0" w:space="0" w:color="auto"/>
        <w:right w:val="none" w:sz="0" w:space="0" w:color="auto"/>
      </w:divBdr>
      <w:divsChild>
        <w:div w:id="1835610281">
          <w:marLeft w:val="0"/>
          <w:marRight w:val="0"/>
          <w:marTop w:val="0"/>
          <w:marBottom w:val="0"/>
          <w:divBdr>
            <w:top w:val="none" w:sz="0" w:space="0" w:color="auto"/>
            <w:left w:val="none" w:sz="0" w:space="0" w:color="auto"/>
            <w:bottom w:val="none" w:sz="0" w:space="0" w:color="auto"/>
            <w:right w:val="none" w:sz="0" w:space="0" w:color="auto"/>
          </w:divBdr>
          <w:divsChild>
            <w:div w:id="147014997">
              <w:marLeft w:val="0"/>
              <w:marRight w:val="0"/>
              <w:marTop w:val="0"/>
              <w:marBottom w:val="0"/>
              <w:divBdr>
                <w:top w:val="none" w:sz="0" w:space="0" w:color="auto"/>
                <w:left w:val="none" w:sz="0" w:space="0" w:color="auto"/>
                <w:bottom w:val="none" w:sz="0" w:space="0" w:color="auto"/>
                <w:right w:val="none" w:sz="0" w:space="0" w:color="auto"/>
              </w:divBdr>
              <w:divsChild>
                <w:div w:id="138471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1951">
      <w:bodyDiv w:val="1"/>
      <w:marLeft w:val="0"/>
      <w:marRight w:val="0"/>
      <w:marTop w:val="0"/>
      <w:marBottom w:val="0"/>
      <w:divBdr>
        <w:top w:val="none" w:sz="0" w:space="0" w:color="auto"/>
        <w:left w:val="none" w:sz="0" w:space="0" w:color="auto"/>
        <w:bottom w:val="none" w:sz="0" w:space="0" w:color="auto"/>
        <w:right w:val="none" w:sz="0" w:space="0" w:color="auto"/>
      </w:divBdr>
    </w:div>
    <w:div w:id="1366784239">
      <w:bodyDiv w:val="1"/>
      <w:marLeft w:val="0"/>
      <w:marRight w:val="0"/>
      <w:marTop w:val="0"/>
      <w:marBottom w:val="0"/>
      <w:divBdr>
        <w:top w:val="none" w:sz="0" w:space="0" w:color="auto"/>
        <w:left w:val="none" w:sz="0" w:space="0" w:color="auto"/>
        <w:bottom w:val="none" w:sz="0" w:space="0" w:color="auto"/>
        <w:right w:val="none" w:sz="0" w:space="0" w:color="auto"/>
      </w:divBdr>
    </w:div>
    <w:div w:id="1448348268">
      <w:bodyDiv w:val="1"/>
      <w:marLeft w:val="0"/>
      <w:marRight w:val="0"/>
      <w:marTop w:val="0"/>
      <w:marBottom w:val="0"/>
      <w:divBdr>
        <w:top w:val="none" w:sz="0" w:space="0" w:color="auto"/>
        <w:left w:val="none" w:sz="0" w:space="0" w:color="auto"/>
        <w:bottom w:val="none" w:sz="0" w:space="0" w:color="auto"/>
        <w:right w:val="none" w:sz="0" w:space="0" w:color="auto"/>
      </w:divBdr>
      <w:divsChild>
        <w:div w:id="781994341">
          <w:marLeft w:val="0"/>
          <w:marRight w:val="0"/>
          <w:marTop w:val="0"/>
          <w:marBottom w:val="0"/>
          <w:divBdr>
            <w:top w:val="none" w:sz="0" w:space="0" w:color="auto"/>
            <w:left w:val="none" w:sz="0" w:space="0" w:color="auto"/>
            <w:bottom w:val="none" w:sz="0" w:space="0" w:color="auto"/>
            <w:right w:val="none" w:sz="0" w:space="0" w:color="auto"/>
          </w:divBdr>
          <w:divsChild>
            <w:div w:id="1381519183">
              <w:marLeft w:val="0"/>
              <w:marRight w:val="0"/>
              <w:marTop w:val="0"/>
              <w:marBottom w:val="0"/>
              <w:divBdr>
                <w:top w:val="none" w:sz="0" w:space="0" w:color="auto"/>
                <w:left w:val="none" w:sz="0" w:space="0" w:color="auto"/>
                <w:bottom w:val="none" w:sz="0" w:space="0" w:color="auto"/>
                <w:right w:val="none" w:sz="0" w:space="0" w:color="auto"/>
              </w:divBdr>
              <w:divsChild>
                <w:div w:id="16997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39921">
      <w:bodyDiv w:val="1"/>
      <w:marLeft w:val="0"/>
      <w:marRight w:val="0"/>
      <w:marTop w:val="0"/>
      <w:marBottom w:val="0"/>
      <w:divBdr>
        <w:top w:val="none" w:sz="0" w:space="0" w:color="auto"/>
        <w:left w:val="none" w:sz="0" w:space="0" w:color="auto"/>
        <w:bottom w:val="none" w:sz="0" w:space="0" w:color="auto"/>
        <w:right w:val="none" w:sz="0" w:space="0" w:color="auto"/>
      </w:divBdr>
    </w:div>
    <w:div w:id="1476214188">
      <w:bodyDiv w:val="1"/>
      <w:marLeft w:val="0"/>
      <w:marRight w:val="0"/>
      <w:marTop w:val="0"/>
      <w:marBottom w:val="0"/>
      <w:divBdr>
        <w:top w:val="none" w:sz="0" w:space="0" w:color="auto"/>
        <w:left w:val="none" w:sz="0" w:space="0" w:color="auto"/>
        <w:bottom w:val="none" w:sz="0" w:space="0" w:color="auto"/>
        <w:right w:val="none" w:sz="0" w:space="0" w:color="auto"/>
      </w:divBdr>
      <w:divsChild>
        <w:div w:id="1662661264">
          <w:marLeft w:val="0"/>
          <w:marRight w:val="0"/>
          <w:marTop w:val="0"/>
          <w:marBottom w:val="0"/>
          <w:divBdr>
            <w:top w:val="none" w:sz="0" w:space="0" w:color="auto"/>
            <w:left w:val="none" w:sz="0" w:space="0" w:color="auto"/>
            <w:bottom w:val="none" w:sz="0" w:space="0" w:color="auto"/>
            <w:right w:val="none" w:sz="0" w:space="0" w:color="auto"/>
          </w:divBdr>
          <w:divsChild>
            <w:div w:id="2008560186">
              <w:marLeft w:val="0"/>
              <w:marRight w:val="0"/>
              <w:marTop w:val="0"/>
              <w:marBottom w:val="0"/>
              <w:divBdr>
                <w:top w:val="none" w:sz="0" w:space="0" w:color="auto"/>
                <w:left w:val="none" w:sz="0" w:space="0" w:color="auto"/>
                <w:bottom w:val="none" w:sz="0" w:space="0" w:color="auto"/>
                <w:right w:val="none" w:sz="0" w:space="0" w:color="auto"/>
              </w:divBdr>
              <w:divsChild>
                <w:div w:id="18548606">
                  <w:marLeft w:val="0"/>
                  <w:marRight w:val="0"/>
                  <w:marTop w:val="0"/>
                  <w:marBottom w:val="0"/>
                  <w:divBdr>
                    <w:top w:val="none" w:sz="0" w:space="0" w:color="auto"/>
                    <w:left w:val="none" w:sz="0" w:space="0" w:color="auto"/>
                    <w:bottom w:val="none" w:sz="0" w:space="0" w:color="auto"/>
                    <w:right w:val="none" w:sz="0" w:space="0" w:color="auto"/>
                  </w:divBdr>
                </w:div>
              </w:divsChild>
            </w:div>
            <w:div w:id="861627038">
              <w:marLeft w:val="0"/>
              <w:marRight w:val="0"/>
              <w:marTop w:val="0"/>
              <w:marBottom w:val="0"/>
              <w:divBdr>
                <w:top w:val="none" w:sz="0" w:space="0" w:color="auto"/>
                <w:left w:val="none" w:sz="0" w:space="0" w:color="auto"/>
                <w:bottom w:val="none" w:sz="0" w:space="0" w:color="auto"/>
                <w:right w:val="none" w:sz="0" w:space="0" w:color="auto"/>
              </w:divBdr>
              <w:divsChild>
                <w:div w:id="198955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39854">
      <w:bodyDiv w:val="1"/>
      <w:marLeft w:val="0"/>
      <w:marRight w:val="0"/>
      <w:marTop w:val="0"/>
      <w:marBottom w:val="0"/>
      <w:divBdr>
        <w:top w:val="none" w:sz="0" w:space="0" w:color="auto"/>
        <w:left w:val="none" w:sz="0" w:space="0" w:color="auto"/>
        <w:bottom w:val="none" w:sz="0" w:space="0" w:color="auto"/>
        <w:right w:val="none" w:sz="0" w:space="0" w:color="auto"/>
      </w:divBdr>
      <w:divsChild>
        <w:div w:id="1614626035">
          <w:marLeft w:val="0"/>
          <w:marRight w:val="0"/>
          <w:marTop w:val="0"/>
          <w:marBottom w:val="0"/>
          <w:divBdr>
            <w:top w:val="none" w:sz="0" w:space="0" w:color="auto"/>
            <w:left w:val="none" w:sz="0" w:space="0" w:color="auto"/>
            <w:bottom w:val="none" w:sz="0" w:space="0" w:color="auto"/>
            <w:right w:val="none" w:sz="0" w:space="0" w:color="auto"/>
          </w:divBdr>
          <w:divsChild>
            <w:div w:id="198665322">
              <w:marLeft w:val="0"/>
              <w:marRight w:val="0"/>
              <w:marTop w:val="0"/>
              <w:marBottom w:val="0"/>
              <w:divBdr>
                <w:top w:val="none" w:sz="0" w:space="0" w:color="auto"/>
                <w:left w:val="none" w:sz="0" w:space="0" w:color="auto"/>
                <w:bottom w:val="none" w:sz="0" w:space="0" w:color="auto"/>
                <w:right w:val="none" w:sz="0" w:space="0" w:color="auto"/>
              </w:divBdr>
              <w:divsChild>
                <w:div w:id="135360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849349">
      <w:bodyDiv w:val="1"/>
      <w:marLeft w:val="0"/>
      <w:marRight w:val="0"/>
      <w:marTop w:val="0"/>
      <w:marBottom w:val="0"/>
      <w:divBdr>
        <w:top w:val="none" w:sz="0" w:space="0" w:color="auto"/>
        <w:left w:val="none" w:sz="0" w:space="0" w:color="auto"/>
        <w:bottom w:val="none" w:sz="0" w:space="0" w:color="auto"/>
        <w:right w:val="none" w:sz="0" w:space="0" w:color="auto"/>
      </w:divBdr>
      <w:divsChild>
        <w:div w:id="564532194">
          <w:marLeft w:val="0"/>
          <w:marRight w:val="0"/>
          <w:marTop w:val="0"/>
          <w:marBottom w:val="0"/>
          <w:divBdr>
            <w:top w:val="none" w:sz="0" w:space="0" w:color="auto"/>
            <w:left w:val="none" w:sz="0" w:space="0" w:color="auto"/>
            <w:bottom w:val="none" w:sz="0" w:space="0" w:color="auto"/>
            <w:right w:val="none" w:sz="0" w:space="0" w:color="auto"/>
          </w:divBdr>
          <w:divsChild>
            <w:div w:id="325786633">
              <w:marLeft w:val="0"/>
              <w:marRight w:val="0"/>
              <w:marTop w:val="0"/>
              <w:marBottom w:val="0"/>
              <w:divBdr>
                <w:top w:val="none" w:sz="0" w:space="0" w:color="auto"/>
                <w:left w:val="none" w:sz="0" w:space="0" w:color="auto"/>
                <w:bottom w:val="none" w:sz="0" w:space="0" w:color="auto"/>
                <w:right w:val="none" w:sz="0" w:space="0" w:color="auto"/>
              </w:divBdr>
              <w:divsChild>
                <w:div w:id="60746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836959">
      <w:bodyDiv w:val="1"/>
      <w:marLeft w:val="0"/>
      <w:marRight w:val="0"/>
      <w:marTop w:val="0"/>
      <w:marBottom w:val="0"/>
      <w:divBdr>
        <w:top w:val="none" w:sz="0" w:space="0" w:color="auto"/>
        <w:left w:val="none" w:sz="0" w:space="0" w:color="auto"/>
        <w:bottom w:val="none" w:sz="0" w:space="0" w:color="auto"/>
        <w:right w:val="none" w:sz="0" w:space="0" w:color="auto"/>
      </w:divBdr>
      <w:divsChild>
        <w:div w:id="3702678">
          <w:marLeft w:val="0"/>
          <w:marRight w:val="0"/>
          <w:marTop w:val="0"/>
          <w:marBottom w:val="0"/>
          <w:divBdr>
            <w:top w:val="none" w:sz="0" w:space="0" w:color="auto"/>
            <w:left w:val="none" w:sz="0" w:space="0" w:color="auto"/>
            <w:bottom w:val="none" w:sz="0" w:space="0" w:color="auto"/>
            <w:right w:val="none" w:sz="0" w:space="0" w:color="auto"/>
          </w:divBdr>
          <w:divsChild>
            <w:div w:id="2012441791">
              <w:marLeft w:val="0"/>
              <w:marRight w:val="0"/>
              <w:marTop w:val="0"/>
              <w:marBottom w:val="0"/>
              <w:divBdr>
                <w:top w:val="none" w:sz="0" w:space="0" w:color="auto"/>
                <w:left w:val="none" w:sz="0" w:space="0" w:color="auto"/>
                <w:bottom w:val="none" w:sz="0" w:space="0" w:color="auto"/>
                <w:right w:val="none" w:sz="0" w:space="0" w:color="auto"/>
              </w:divBdr>
              <w:divsChild>
                <w:div w:id="8501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692595">
      <w:bodyDiv w:val="1"/>
      <w:marLeft w:val="0"/>
      <w:marRight w:val="0"/>
      <w:marTop w:val="0"/>
      <w:marBottom w:val="0"/>
      <w:divBdr>
        <w:top w:val="none" w:sz="0" w:space="0" w:color="auto"/>
        <w:left w:val="none" w:sz="0" w:space="0" w:color="auto"/>
        <w:bottom w:val="none" w:sz="0" w:space="0" w:color="auto"/>
        <w:right w:val="none" w:sz="0" w:space="0" w:color="auto"/>
      </w:divBdr>
      <w:divsChild>
        <w:div w:id="1251617364">
          <w:marLeft w:val="0"/>
          <w:marRight w:val="0"/>
          <w:marTop w:val="0"/>
          <w:marBottom w:val="0"/>
          <w:divBdr>
            <w:top w:val="none" w:sz="0" w:space="0" w:color="auto"/>
            <w:left w:val="none" w:sz="0" w:space="0" w:color="auto"/>
            <w:bottom w:val="none" w:sz="0" w:space="0" w:color="auto"/>
            <w:right w:val="none" w:sz="0" w:space="0" w:color="auto"/>
          </w:divBdr>
          <w:divsChild>
            <w:div w:id="1114519074">
              <w:marLeft w:val="0"/>
              <w:marRight w:val="0"/>
              <w:marTop w:val="0"/>
              <w:marBottom w:val="0"/>
              <w:divBdr>
                <w:top w:val="none" w:sz="0" w:space="0" w:color="auto"/>
                <w:left w:val="none" w:sz="0" w:space="0" w:color="auto"/>
                <w:bottom w:val="none" w:sz="0" w:space="0" w:color="auto"/>
                <w:right w:val="none" w:sz="0" w:space="0" w:color="auto"/>
              </w:divBdr>
              <w:divsChild>
                <w:div w:id="189839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09379">
      <w:bodyDiv w:val="1"/>
      <w:marLeft w:val="0"/>
      <w:marRight w:val="0"/>
      <w:marTop w:val="0"/>
      <w:marBottom w:val="0"/>
      <w:divBdr>
        <w:top w:val="none" w:sz="0" w:space="0" w:color="auto"/>
        <w:left w:val="none" w:sz="0" w:space="0" w:color="auto"/>
        <w:bottom w:val="none" w:sz="0" w:space="0" w:color="auto"/>
        <w:right w:val="none" w:sz="0" w:space="0" w:color="auto"/>
      </w:divBdr>
      <w:divsChild>
        <w:div w:id="273097169">
          <w:marLeft w:val="0"/>
          <w:marRight w:val="0"/>
          <w:marTop w:val="0"/>
          <w:marBottom w:val="0"/>
          <w:divBdr>
            <w:top w:val="none" w:sz="0" w:space="0" w:color="auto"/>
            <w:left w:val="none" w:sz="0" w:space="0" w:color="auto"/>
            <w:bottom w:val="none" w:sz="0" w:space="0" w:color="auto"/>
            <w:right w:val="none" w:sz="0" w:space="0" w:color="auto"/>
          </w:divBdr>
          <w:divsChild>
            <w:div w:id="683213791">
              <w:marLeft w:val="0"/>
              <w:marRight w:val="0"/>
              <w:marTop w:val="0"/>
              <w:marBottom w:val="0"/>
              <w:divBdr>
                <w:top w:val="none" w:sz="0" w:space="0" w:color="auto"/>
                <w:left w:val="none" w:sz="0" w:space="0" w:color="auto"/>
                <w:bottom w:val="none" w:sz="0" w:space="0" w:color="auto"/>
                <w:right w:val="none" w:sz="0" w:space="0" w:color="auto"/>
              </w:divBdr>
              <w:divsChild>
                <w:div w:id="177343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948793">
      <w:bodyDiv w:val="1"/>
      <w:marLeft w:val="0"/>
      <w:marRight w:val="0"/>
      <w:marTop w:val="0"/>
      <w:marBottom w:val="0"/>
      <w:divBdr>
        <w:top w:val="none" w:sz="0" w:space="0" w:color="auto"/>
        <w:left w:val="none" w:sz="0" w:space="0" w:color="auto"/>
        <w:bottom w:val="none" w:sz="0" w:space="0" w:color="auto"/>
        <w:right w:val="none" w:sz="0" w:space="0" w:color="auto"/>
      </w:divBdr>
      <w:divsChild>
        <w:div w:id="2071027968">
          <w:marLeft w:val="0"/>
          <w:marRight w:val="0"/>
          <w:marTop w:val="0"/>
          <w:marBottom w:val="0"/>
          <w:divBdr>
            <w:top w:val="none" w:sz="0" w:space="0" w:color="auto"/>
            <w:left w:val="none" w:sz="0" w:space="0" w:color="auto"/>
            <w:bottom w:val="none" w:sz="0" w:space="0" w:color="auto"/>
            <w:right w:val="none" w:sz="0" w:space="0" w:color="auto"/>
          </w:divBdr>
          <w:divsChild>
            <w:div w:id="1348404965">
              <w:marLeft w:val="0"/>
              <w:marRight w:val="0"/>
              <w:marTop w:val="0"/>
              <w:marBottom w:val="0"/>
              <w:divBdr>
                <w:top w:val="none" w:sz="0" w:space="0" w:color="auto"/>
                <w:left w:val="none" w:sz="0" w:space="0" w:color="auto"/>
                <w:bottom w:val="none" w:sz="0" w:space="0" w:color="auto"/>
                <w:right w:val="none" w:sz="0" w:space="0" w:color="auto"/>
              </w:divBdr>
              <w:divsChild>
                <w:div w:id="10429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970711">
      <w:bodyDiv w:val="1"/>
      <w:marLeft w:val="0"/>
      <w:marRight w:val="0"/>
      <w:marTop w:val="0"/>
      <w:marBottom w:val="0"/>
      <w:divBdr>
        <w:top w:val="none" w:sz="0" w:space="0" w:color="auto"/>
        <w:left w:val="none" w:sz="0" w:space="0" w:color="auto"/>
        <w:bottom w:val="none" w:sz="0" w:space="0" w:color="auto"/>
        <w:right w:val="none" w:sz="0" w:space="0" w:color="auto"/>
      </w:divBdr>
      <w:divsChild>
        <w:div w:id="704909232">
          <w:marLeft w:val="0"/>
          <w:marRight w:val="0"/>
          <w:marTop w:val="0"/>
          <w:marBottom w:val="0"/>
          <w:divBdr>
            <w:top w:val="none" w:sz="0" w:space="0" w:color="auto"/>
            <w:left w:val="none" w:sz="0" w:space="0" w:color="auto"/>
            <w:bottom w:val="none" w:sz="0" w:space="0" w:color="auto"/>
            <w:right w:val="none" w:sz="0" w:space="0" w:color="auto"/>
          </w:divBdr>
          <w:divsChild>
            <w:div w:id="1346438279">
              <w:marLeft w:val="0"/>
              <w:marRight w:val="0"/>
              <w:marTop w:val="0"/>
              <w:marBottom w:val="0"/>
              <w:divBdr>
                <w:top w:val="none" w:sz="0" w:space="0" w:color="auto"/>
                <w:left w:val="none" w:sz="0" w:space="0" w:color="auto"/>
                <w:bottom w:val="none" w:sz="0" w:space="0" w:color="auto"/>
                <w:right w:val="none" w:sz="0" w:space="0" w:color="auto"/>
              </w:divBdr>
              <w:divsChild>
                <w:div w:id="20955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10712">
      <w:bodyDiv w:val="1"/>
      <w:marLeft w:val="0"/>
      <w:marRight w:val="0"/>
      <w:marTop w:val="0"/>
      <w:marBottom w:val="0"/>
      <w:divBdr>
        <w:top w:val="none" w:sz="0" w:space="0" w:color="auto"/>
        <w:left w:val="none" w:sz="0" w:space="0" w:color="auto"/>
        <w:bottom w:val="none" w:sz="0" w:space="0" w:color="auto"/>
        <w:right w:val="none" w:sz="0" w:space="0" w:color="auto"/>
      </w:divBdr>
      <w:divsChild>
        <w:div w:id="425616870">
          <w:marLeft w:val="0"/>
          <w:marRight w:val="0"/>
          <w:marTop w:val="0"/>
          <w:marBottom w:val="0"/>
          <w:divBdr>
            <w:top w:val="none" w:sz="0" w:space="0" w:color="auto"/>
            <w:left w:val="none" w:sz="0" w:space="0" w:color="auto"/>
            <w:bottom w:val="none" w:sz="0" w:space="0" w:color="auto"/>
            <w:right w:val="none" w:sz="0" w:space="0" w:color="auto"/>
          </w:divBdr>
          <w:divsChild>
            <w:div w:id="720787329">
              <w:marLeft w:val="0"/>
              <w:marRight w:val="0"/>
              <w:marTop w:val="0"/>
              <w:marBottom w:val="0"/>
              <w:divBdr>
                <w:top w:val="none" w:sz="0" w:space="0" w:color="auto"/>
                <w:left w:val="none" w:sz="0" w:space="0" w:color="auto"/>
                <w:bottom w:val="none" w:sz="0" w:space="0" w:color="auto"/>
                <w:right w:val="none" w:sz="0" w:space="0" w:color="auto"/>
              </w:divBdr>
              <w:divsChild>
                <w:div w:id="153985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75376">
      <w:bodyDiv w:val="1"/>
      <w:marLeft w:val="0"/>
      <w:marRight w:val="0"/>
      <w:marTop w:val="0"/>
      <w:marBottom w:val="0"/>
      <w:divBdr>
        <w:top w:val="none" w:sz="0" w:space="0" w:color="auto"/>
        <w:left w:val="none" w:sz="0" w:space="0" w:color="auto"/>
        <w:bottom w:val="none" w:sz="0" w:space="0" w:color="auto"/>
        <w:right w:val="none" w:sz="0" w:space="0" w:color="auto"/>
      </w:divBdr>
      <w:divsChild>
        <w:div w:id="1637566248">
          <w:marLeft w:val="0"/>
          <w:marRight w:val="0"/>
          <w:marTop w:val="0"/>
          <w:marBottom w:val="0"/>
          <w:divBdr>
            <w:top w:val="none" w:sz="0" w:space="0" w:color="auto"/>
            <w:left w:val="none" w:sz="0" w:space="0" w:color="auto"/>
            <w:bottom w:val="none" w:sz="0" w:space="0" w:color="auto"/>
            <w:right w:val="none" w:sz="0" w:space="0" w:color="auto"/>
          </w:divBdr>
          <w:divsChild>
            <w:div w:id="887452926">
              <w:marLeft w:val="0"/>
              <w:marRight w:val="0"/>
              <w:marTop w:val="0"/>
              <w:marBottom w:val="0"/>
              <w:divBdr>
                <w:top w:val="none" w:sz="0" w:space="0" w:color="auto"/>
                <w:left w:val="none" w:sz="0" w:space="0" w:color="auto"/>
                <w:bottom w:val="none" w:sz="0" w:space="0" w:color="auto"/>
                <w:right w:val="none" w:sz="0" w:space="0" w:color="auto"/>
              </w:divBdr>
              <w:divsChild>
                <w:div w:id="31361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14633">
      <w:bodyDiv w:val="1"/>
      <w:marLeft w:val="0"/>
      <w:marRight w:val="0"/>
      <w:marTop w:val="0"/>
      <w:marBottom w:val="0"/>
      <w:divBdr>
        <w:top w:val="none" w:sz="0" w:space="0" w:color="auto"/>
        <w:left w:val="none" w:sz="0" w:space="0" w:color="auto"/>
        <w:bottom w:val="none" w:sz="0" w:space="0" w:color="auto"/>
        <w:right w:val="none" w:sz="0" w:space="0" w:color="auto"/>
      </w:divBdr>
      <w:divsChild>
        <w:div w:id="579950410">
          <w:marLeft w:val="0"/>
          <w:marRight w:val="0"/>
          <w:marTop w:val="0"/>
          <w:marBottom w:val="0"/>
          <w:divBdr>
            <w:top w:val="none" w:sz="0" w:space="0" w:color="auto"/>
            <w:left w:val="none" w:sz="0" w:space="0" w:color="auto"/>
            <w:bottom w:val="none" w:sz="0" w:space="0" w:color="auto"/>
            <w:right w:val="none" w:sz="0" w:space="0" w:color="auto"/>
          </w:divBdr>
          <w:divsChild>
            <w:div w:id="1500584943">
              <w:marLeft w:val="0"/>
              <w:marRight w:val="0"/>
              <w:marTop w:val="0"/>
              <w:marBottom w:val="0"/>
              <w:divBdr>
                <w:top w:val="none" w:sz="0" w:space="0" w:color="auto"/>
                <w:left w:val="none" w:sz="0" w:space="0" w:color="auto"/>
                <w:bottom w:val="none" w:sz="0" w:space="0" w:color="auto"/>
                <w:right w:val="none" w:sz="0" w:space="0" w:color="auto"/>
              </w:divBdr>
              <w:divsChild>
                <w:div w:id="210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46683">
      <w:bodyDiv w:val="1"/>
      <w:marLeft w:val="0"/>
      <w:marRight w:val="0"/>
      <w:marTop w:val="0"/>
      <w:marBottom w:val="0"/>
      <w:divBdr>
        <w:top w:val="none" w:sz="0" w:space="0" w:color="auto"/>
        <w:left w:val="none" w:sz="0" w:space="0" w:color="auto"/>
        <w:bottom w:val="none" w:sz="0" w:space="0" w:color="auto"/>
        <w:right w:val="none" w:sz="0" w:space="0" w:color="auto"/>
      </w:divBdr>
      <w:divsChild>
        <w:div w:id="2135439640">
          <w:marLeft w:val="0"/>
          <w:marRight w:val="0"/>
          <w:marTop w:val="0"/>
          <w:marBottom w:val="0"/>
          <w:divBdr>
            <w:top w:val="none" w:sz="0" w:space="0" w:color="auto"/>
            <w:left w:val="none" w:sz="0" w:space="0" w:color="auto"/>
            <w:bottom w:val="none" w:sz="0" w:space="0" w:color="auto"/>
            <w:right w:val="none" w:sz="0" w:space="0" w:color="auto"/>
          </w:divBdr>
          <w:divsChild>
            <w:div w:id="1484933772">
              <w:marLeft w:val="0"/>
              <w:marRight w:val="0"/>
              <w:marTop w:val="0"/>
              <w:marBottom w:val="0"/>
              <w:divBdr>
                <w:top w:val="none" w:sz="0" w:space="0" w:color="auto"/>
                <w:left w:val="none" w:sz="0" w:space="0" w:color="auto"/>
                <w:bottom w:val="none" w:sz="0" w:space="0" w:color="auto"/>
                <w:right w:val="none" w:sz="0" w:space="0" w:color="auto"/>
              </w:divBdr>
              <w:divsChild>
                <w:div w:id="62196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770321">
      <w:bodyDiv w:val="1"/>
      <w:marLeft w:val="0"/>
      <w:marRight w:val="0"/>
      <w:marTop w:val="0"/>
      <w:marBottom w:val="0"/>
      <w:divBdr>
        <w:top w:val="none" w:sz="0" w:space="0" w:color="auto"/>
        <w:left w:val="none" w:sz="0" w:space="0" w:color="auto"/>
        <w:bottom w:val="none" w:sz="0" w:space="0" w:color="auto"/>
        <w:right w:val="none" w:sz="0" w:space="0" w:color="auto"/>
      </w:divBdr>
      <w:divsChild>
        <w:div w:id="1613585677">
          <w:marLeft w:val="0"/>
          <w:marRight w:val="0"/>
          <w:marTop w:val="0"/>
          <w:marBottom w:val="0"/>
          <w:divBdr>
            <w:top w:val="none" w:sz="0" w:space="0" w:color="auto"/>
            <w:left w:val="none" w:sz="0" w:space="0" w:color="auto"/>
            <w:bottom w:val="none" w:sz="0" w:space="0" w:color="auto"/>
            <w:right w:val="none" w:sz="0" w:space="0" w:color="auto"/>
          </w:divBdr>
          <w:divsChild>
            <w:div w:id="1756434262">
              <w:marLeft w:val="0"/>
              <w:marRight w:val="0"/>
              <w:marTop w:val="0"/>
              <w:marBottom w:val="0"/>
              <w:divBdr>
                <w:top w:val="none" w:sz="0" w:space="0" w:color="auto"/>
                <w:left w:val="none" w:sz="0" w:space="0" w:color="auto"/>
                <w:bottom w:val="none" w:sz="0" w:space="0" w:color="auto"/>
                <w:right w:val="none" w:sz="0" w:space="0" w:color="auto"/>
              </w:divBdr>
              <w:divsChild>
                <w:div w:id="192310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86884">
      <w:bodyDiv w:val="1"/>
      <w:marLeft w:val="0"/>
      <w:marRight w:val="0"/>
      <w:marTop w:val="0"/>
      <w:marBottom w:val="0"/>
      <w:divBdr>
        <w:top w:val="none" w:sz="0" w:space="0" w:color="auto"/>
        <w:left w:val="none" w:sz="0" w:space="0" w:color="auto"/>
        <w:bottom w:val="none" w:sz="0" w:space="0" w:color="auto"/>
        <w:right w:val="none" w:sz="0" w:space="0" w:color="auto"/>
      </w:divBdr>
      <w:divsChild>
        <w:div w:id="1738702446">
          <w:marLeft w:val="0"/>
          <w:marRight w:val="0"/>
          <w:marTop w:val="0"/>
          <w:marBottom w:val="0"/>
          <w:divBdr>
            <w:top w:val="none" w:sz="0" w:space="0" w:color="auto"/>
            <w:left w:val="none" w:sz="0" w:space="0" w:color="auto"/>
            <w:bottom w:val="none" w:sz="0" w:space="0" w:color="auto"/>
            <w:right w:val="none" w:sz="0" w:space="0" w:color="auto"/>
          </w:divBdr>
          <w:divsChild>
            <w:div w:id="1359500743">
              <w:marLeft w:val="0"/>
              <w:marRight w:val="0"/>
              <w:marTop w:val="0"/>
              <w:marBottom w:val="0"/>
              <w:divBdr>
                <w:top w:val="none" w:sz="0" w:space="0" w:color="auto"/>
                <w:left w:val="none" w:sz="0" w:space="0" w:color="auto"/>
                <w:bottom w:val="none" w:sz="0" w:space="0" w:color="auto"/>
                <w:right w:val="none" w:sz="0" w:space="0" w:color="auto"/>
              </w:divBdr>
              <w:divsChild>
                <w:div w:id="259028695">
                  <w:marLeft w:val="0"/>
                  <w:marRight w:val="0"/>
                  <w:marTop w:val="0"/>
                  <w:marBottom w:val="0"/>
                  <w:divBdr>
                    <w:top w:val="none" w:sz="0" w:space="0" w:color="auto"/>
                    <w:left w:val="none" w:sz="0" w:space="0" w:color="auto"/>
                    <w:bottom w:val="none" w:sz="0" w:space="0" w:color="auto"/>
                    <w:right w:val="none" w:sz="0" w:space="0" w:color="auto"/>
                  </w:divBdr>
                  <w:divsChild>
                    <w:div w:id="36322779">
                      <w:marLeft w:val="0"/>
                      <w:marRight w:val="0"/>
                      <w:marTop w:val="0"/>
                      <w:marBottom w:val="0"/>
                      <w:divBdr>
                        <w:top w:val="none" w:sz="0" w:space="0" w:color="auto"/>
                        <w:left w:val="none" w:sz="0" w:space="0" w:color="auto"/>
                        <w:bottom w:val="none" w:sz="0" w:space="0" w:color="auto"/>
                        <w:right w:val="none" w:sz="0" w:space="0" w:color="auto"/>
                      </w:divBdr>
                      <w:divsChild>
                        <w:div w:id="14695455">
                          <w:marLeft w:val="0"/>
                          <w:marRight w:val="0"/>
                          <w:marTop w:val="0"/>
                          <w:marBottom w:val="0"/>
                          <w:divBdr>
                            <w:top w:val="none" w:sz="0" w:space="0" w:color="auto"/>
                            <w:left w:val="none" w:sz="0" w:space="0" w:color="auto"/>
                            <w:bottom w:val="none" w:sz="0" w:space="0" w:color="auto"/>
                            <w:right w:val="none" w:sz="0" w:space="0" w:color="auto"/>
                          </w:divBdr>
                          <w:divsChild>
                            <w:div w:id="92865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924161">
      <w:bodyDiv w:val="1"/>
      <w:marLeft w:val="0"/>
      <w:marRight w:val="0"/>
      <w:marTop w:val="0"/>
      <w:marBottom w:val="0"/>
      <w:divBdr>
        <w:top w:val="none" w:sz="0" w:space="0" w:color="auto"/>
        <w:left w:val="none" w:sz="0" w:space="0" w:color="auto"/>
        <w:bottom w:val="none" w:sz="0" w:space="0" w:color="auto"/>
        <w:right w:val="none" w:sz="0" w:space="0" w:color="auto"/>
      </w:divBdr>
      <w:divsChild>
        <w:div w:id="497766925">
          <w:marLeft w:val="0"/>
          <w:marRight w:val="0"/>
          <w:marTop w:val="0"/>
          <w:marBottom w:val="0"/>
          <w:divBdr>
            <w:top w:val="none" w:sz="0" w:space="0" w:color="auto"/>
            <w:left w:val="none" w:sz="0" w:space="0" w:color="auto"/>
            <w:bottom w:val="none" w:sz="0" w:space="0" w:color="auto"/>
            <w:right w:val="none" w:sz="0" w:space="0" w:color="auto"/>
          </w:divBdr>
          <w:divsChild>
            <w:div w:id="798383368">
              <w:marLeft w:val="0"/>
              <w:marRight w:val="0"/>
              <w:marTop w:val="0"/>
              <w:marBottom w:val="0"/>
              <w:divBdr>
                <w:top w:val="none" w:sz="0" w:space="0" w:color="auto"/>
                <w:left w:val="none" w:sz="0" w:space="0" w:color="auto"/>
                <w:bottom w:val="none" w:sz="0" w:space="0" w:color="auto"/>
                <w:right w:val="none" w:sz="0" w:space="0" w:color="auto"/>
              </w:divBdr>
              <w:divsChild>
                <w:div w:id="185738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702169">
      <w:bodyDiv w:val="1"/>
      <w:marLeft w:val="0"/>
      <w:marRight w:val="0"/>
      <w:marTop w:val="0"/>
      <w:marBottom w:val="0"/>
      <w:divBdr>
        <w:top w:val="none" w:sz="0" w:space="0" w:color="auto"/>
        <w:left w:val="none" w:sz="0" w:space="0" w:color="auto"/>
        <w:bottom w:val="none" w:sz="0" w:space="0" w:color="auto"/>
        <w:right w:val="none" w:sz="0" w:space="0" w:color="auto"/>
      </w:divBdr>
      <w:divsChild>
        <w:div w:id="379985725">
          <w:marLeft w:val="0"/>
          <w:marRight w:val="0"/>
          <w:marTop w:val="0"/>
          <w:marBottom w:val="0"/>
          <w:divBdr>
            <w:top w:val="none" w:sz="0" w:space="0" w:color="auto"/>
            <w:left w:val="none" w:sz="0" w:space="0" w:color="auto"/>
            <w:bottom w:val="none" w:sz="0" w:space="0" w:color="auto"/>
            <w:right w:val="none" w:sz="0" w:space="0" w:color="auto"/>
          </w:divBdr>
          <w:divsChild>
            <w:div w:id="948127029">
              <w:marLeft w:val="0"/>
              <w:marRight w:val="0"/>
              <w:marTop w:val="0"/>
              <w:marBottom w:val="0"/>
              <w:divBdr>
                <w:top w:val="none" w:sz="0" w:space="0" w:color="auto"/>
                <w:left w:val="none" w:sz="0" w:space="0" w:color="auto"/>
                <w:bottom w:val="none" w:sz="0" w:space="0" w:color="auto"/>
                <w:right w:val="none" w:sz="0" w:space="0" w:color="auto"/>
              </w:divBdr>
              <w:divsChild>
                <w:div w:id="18835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94106">
      <w:bodyDiv w:val="1"/>
      <w:marLeft w:val="0"/>
      <w:marRight w:val="0"/>
      <w:marTop w:val="0"/>
      <w:marBottom w:val="0"/>
      <w:divBdr>
        <w:top w:val="none" w:sz="0" w:space="0" w:color="auto"/>
        <w:left w:val="none" w:sz="0" w:space="0" w:color="auto"/>
        <w:bottom w:val="none" w:sz="0" w:space="0" w:color="auto"/>
        <w:right w:val="none" w:sz="0" w:space="0" w:color="auto"/>
      </w:divBdr>
      <w:divsChild>
        <w:div w:id="2101756368">
          <w:marLeft w:val="0"/>
          <w:marRight w:val="0"/>
          <w:marTop w:val="0"/>
          <w:marBottom w:val="0"/>
          <w:divBdr>
            <w:top w:val="none" w:sz="0" w:space="0" w:color="auto"/>
            <w:left w:val="none" w:sz="0" w:space="0" w:color="auto"/>
            <w:bottom w:val="none" w:sz="0" w:space="0" w:color="auto"/>
            <w:right w:val="none" w:sz="0" w:space="0" w:color="auto"/>
          </w:divBdr>
          <w:divsChild>
            <w:div w:id="1359547319">
              <w:marLeft w:val="0"/>
              <w:marRight w:val="0"/>
              <w:marTop w:val="0"/>
              <w:marBottom w:val="0"/>
              <w:divBdr>
                <w:top w:val="none" w:sz="0" w:space="0" w:color="auto"/>
                <w:left w:val="none" w:sz="0" w:space="0" w:color="auto"/>
                <w:bottom w:val="none" w:sz="0" w:space="0" w:color="auto"/>
                <w:right w:val="none" w:sz="0" w:space="0" w:color="auto"/>
              </w:divBdr>
              <w:divsChild>
                <w:div w:id="13908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74114">
      <w:bodyDiv w:val="1"/>
      <w:marLeft w:val="0"/>
      <w:marRight w:val="0"/>
      <w:marTop w:val="0"/>
      <w:marBottom w:val="0"/>
      <w:divBdr>
        <w:top w:val="none" w:sz="0" w:space="0" w:color="auto"/>
        <w:left w:val="none" w:sz="0" w:space="0" w:color="auto"/>
        <w:bottom w:val="none" w:sz="0" w:space="0" w:color="auto"/>
        <w:right w:val="none" w:sz="0" w:space="0" w:color="auto"/>
      </w:divBdr>
    </w:div>
    <w:div w:id="1908756504">
      <w:bodyDiv w:val="1"/>
      <w:marLeft w:val="0"/>
      <w:marRight w:val="0"/>
      <w:marTop w:val="0"/>
      <w:marBottom w:val="0"/>
      <w:divBdr>
        <w:top w:val="none" w:sz="0" w:space="0" w:color="auto"/>
        <w:left w:val="none" w:sz="0" w:space="0" w:color="auto"/>
        <w:bottom w:val="none" w:sz="0" w:space="0" w:color="auto"/>
        <w:right w:val="none" w:sz="0" w:space="0" w:color="auto"/>
      </w:divBdr>
      <w:divsChild>
        <w:div w:id="60371721">
          <w:marLeft w:val="0"/>
          <w:marRight w:val="0"/>
          <w:marTop w:val="0"/>
          <w:marBottom w:val="0"/>
          <w:divBdr>
            <w:top w:val="none" w:sz="0" w:space="0" w:color="auto"/>
            <w:left w:val="none" w:sz="0" w:space="0" w:color="auto"/>
            <w:bottom w:val="none" w:sz="0" w:space="0" w:color="auto"/>
            <w:right w:val="none" w:sz="0" w:space="0" w:color="auto"/>
          </w:divBdr>
          <w:divsChild>
            <w:div w:id="389768446">
              <w:marLeft w:val="0"/>
              <w:marRight w:val="0"/>
              <w:marTop w:val="0"/>
              <w:marBottom w:val="0"/>
              <w:divBdr>
                <w:top w:val="none" w:sz="0" w:space="0" w:color="auto"/>
                <w:left w:val="none" w:sz="0" w:space="0" w:color="auto"/>
                <w:bottom w:val="none" w:sz="0" w:space="0" w:color="auto"/>
                <w:right w:val="none" w:sz="0" w:space="0" w:color="auto"/>
              </w:divBdr>
              <w:divsChild>
                <w:div w:id="142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97458">
      <w:bodyDiv w:val="1"/>
      <w:marLeft w:val="0"/>
      <w:marRight w:val="0"/>
      <w:marTop w:val="0"/>
      <w:marBottom w:val="0"/>
      <w:divBdr>
        <w:top w:val="none" w:sz="0" w:space="0" w:color="auto"/>
        <w:left w:val="none" w:sz="0" w:space="0" w:color="auto"/>
        <w:bottom w:val="none" w:sz="0" w:space="0" w:color="auto"/>
        <w:right w:val="none" w:sz="0" w:space="0" w:color="auto"/>
      </w:divBdr>
    </w:div>
    <w:div w:id="1948926084">
      <w:bodyDiv w:val="1"/>
      <w:marLeft w:val="0"/>
      <w:marRight w:val="0"/>
      <w:marTop w:val="0"/>
      <w:marBottom w:val="0"/>
      <w:divBdr>
        <w:top w:val="none" w:sz="0" w:space="0" w:color="auto"/>
        <w:left w:val="none" w:sz="0" w:space="0" w:color="auto"/>
        <w:bottom w:val="none" w:sz="0" w:space="0" w:color="auto"/>
        <w:right w:val="none" w:sz="0" w:space="0" w:color="auto"/>
      </w:divBdr>
      <w:divsChild>
        <w:div w:id="1001464724">
          <w:marLeft w:val="0"/>
          <w:marRight w:val="0"/>
          <w:marTop w:val="0"/>
          <w:marBottom w:val="0"/>
          <w:divBdr>
            <w:top w:val="none" w:sz="0" w:space="0" w:color="auto"/>
            <w:left w:val="none" w:sz="0" w:space="0" w:color="auto"/>
            <w:bottom w:val="none" w:sz="0" w:space="0" w:color="auto"/>
            <w:right w:val="none" w:sz="0" w:space="0" w:color="auto"/>
          </w:divBdr>
          <w:divsChild>
            <w:div w:id="1912151694">
              <w:marLeft w:val="0"/>
              <w:marRight w:val="0"/>
              <w:marTop w:val="0"/>
              <w:marBottom w:val="0"/>
              <w:divBdr>
                <w:top w:val="none" w:sz="0" w:space="0" w:color="auto"/>
                <w:left w:val="none" w:sz="0" w:space="0" w:color="auto"/>
                <w:bottom w:val="none" w:sz="0" w:space="0" w:color="auto"/>
                <w:right w:val="none" w:sz="0" w:space="0" w:color="auto"/>
              </w:divBdr>
              <w:divsChild>
                <w:div w:id="729157529">
                  <w:marLeft w:val="0"/>
                  <w:marRight w:val="0"/>
                  <w:marTop w:val="0"/>
                  <w:marBottom w:val="0"/>
                  <w:divBdr>
                    <w:top w:val="none" w:sz="0" w:space="0" w:color="auto"/>
                    <w:left w:val="none" w:sz="0" w:space="0" w:color="auto"/>
                    <w:bottom w:val="none" w:sz="0" w:space="0" w:color="auto"/>
                    <w:right w:val="none" w:sz="0" w:space="0" w:color="auto"/>
                  </w:divBdr>
                  <w:divsChild>
                    <w:div w:id="1556694726">
                      <w:marLeft w:val="0"/>
                      <w:marRight w:val="0"/>
                      <w:marTop w:val="0"/>
                      <w:marBottom w:val="0"/>
                      <w:divBdr>
                        <w:top w:val="none" w:sz="0" w:space="0" w:color="auto"/>
                        <w:left w:val="none" w:sz="0" w:space="0" w:color="auto"/>
                        <w:bottom w:val="none" w:sz="0" w:space="0" w:color="auto"/>
                        <w:right w:val="none" w:sz="0" w:space="0" w:color="auto"/>
                      </w:divBdr>
                      <w:divsChild>
                        <w:div w:id="357897203">
                          <w:marLeft w:val="0"/>
                          <w:marRight w:val="0"/>
                          <w:marTop w:val="0"/>
                          <w:marBottom w:val="0"/>
                          <w:divBdr>
                            <w:top w:val="none" w:sz="0" w:space="0" w:color="auto"/>
                            <w:left w:val="none" w:sz="0" w:space="0" w:color="auto"/>
                            <w:bottom w:val="none" w:sz="0" w:space="0" w:color="auto"/>
                            <w:right w:val="none" w:sz="0" w:space="0" w:color="auto"/>
                          </w:divBdr>
                          <w:divsChild>
                            <w:div w:id="19232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259069">
      <w:bodyDiv w:val="1"/>
      <w:marLeft w:val="0"/>
      <w:marRight w:val="0"/>
      <w:marTop w:val="0"/>
      <w:marBottom w:val="0"/>
      <w:divBdr>
        <w:top w:val="none" w:sz="0" w:space="0" w:color="auto"/>
        <w:left w:val="none" w:sz="0" w:space="0" w:color="auto"/>
        <w:bottom w:val="none" w:sz="0" w:space="0" w:color="auto"/>
        <w:right w:val="none" w:sz="0" w:space="0" w:color="auto"/>
      </w:divBdr>
    </w:div>
    <w:div w:id="1973435391">
      <w:bodyDiv w:val="1"/>
      <w:marLeft w:val="0"/>
      <w:marRight w:val="0"/>
      <w:marTop w:val="0"/>
      <w:marBottom w:val="0"/>
      <w:divBdr>
        <w:top w:val="none" w:sz="0" w:space="0" w:color="auto"/>
        <w:left w:val="none" w:sz="0" w:space="0" w:color="auto"/>
        <w:bottom w:val="none" w:sz="0" w:space="0" w:color="auto"/>
        <w:right w:val="none" w:sz="0" w:space="0" w:color="auto"/>
      </w:divBdr>
      <w:divsChild>
        <w:div w:id="850609550">
          <w:marLeft w:val="0"/>
          <w:marRight w:val="0"/>
          <w:marTop w:val="0"/>
          <w:marBottom w:val="0"/>
          <w:divBdr>
            <w:top w:val="none" w:sz="0" w:space="0" w:color="auto"/>
            <w:left w:val="none" w:sz="0" w:space="0" w:color="auto"/>
            <w:bottom w:val="none" w:sz="0" w:space="0" w:color="auto"/>
            <w:right w:val="none" w:sz="0" w:space="0" w:color="auto"/>
          </w:divBdr>
          <w:divsChild>
            <w:div w:id="1587616521">
              <w:marLeft w:val="0"/>
              <w:marRight w:val="0"/>
              <w:marTop w:val="0"/>
              <w:marBottom w:val="0"/>
              <w:divBdr>
                <w:top w:val="none" w:sz="0" w:space="0" w:color="auto"/>
                <w:left w:val="none" w:sz="0" w:space="0" w:color="auto"/>
                <w:bottom w:val="none" w:sz="0" w:space="0" w:color="auto"/>
                <w:right w:val="none" w:sz="0" w:space="0" w:color="auto"/>
              </w:divBdr>
              <w:divsChild>
                <w:div w:id="198072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850554">
      <w:bodyDiv w:val="1"/>
      <w:marLeft w:val="0"/>
      <w:marRight w:val="0"/>
      <w:marTop w:val="0"/>
      <w:marBottom w:val="0"/>
      <w:divBdr>
        <w:top w:val="none" w:sz="0" w:space="0" w:color="auto"/>
        <w:left w:val="none" w:sz="0" w:space="0" w:color="auto"/>
        <w:bottom w:val="none" w:sz="0" w:space="0" w:color="auto"/>
        <w:right w:val="none" w:sz="0" w:space="0" w:color="auto"/>
      </w:divBdr>
      <w:divsChild>
        <w:div w:id="2130079144">
          <w:marLeft w:val="0"/>
          <w:marRight w:val="0"/>
          <w:marTop w:val="0"/>
          <w:marBottom w:val="0"/>
          <w:divBdr>
            <w:top w:val="none" w:sz="0" w:space="0" w:color="auto"/>
            <w:left w:val="none" w:sz="0" w:space="0" w:color="auto"/>
            <w:bottom w:val="none" w:sz="0" w:space="0" w:color="auto"/>
            <w:right w:val="none" w:sz="0" w:space="0" w:color="auto"/>
          </w:divBdr>
          <w:divsChild>
            <w:div w:id="946306644">
              <w:marLeft w:val="0"/>
              <w:marRight w:val="0"/>
              <w:marTop w:val="0"/>
              <w:marBottom w:val="0"/>
              <w:divBdr>
                <w:top w:val="none" w:sz="0" w:space="0" w:color="auto"/>
                <w:left w:val="none" w:sz="0" w:space="0" w:color="auto"/>
                <w:bottom w:val="none" w:sz="0" w:space="0" w:color="auto"/>
                <w:right w:val="none" w:sz="0" w:space="0" w:color="auto"/>
              </w:divBdr>
              <w:divsChild>
                <w:div w:id="76121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3977">
      <w:bodyDiv w:val="1"/>
      <w:marLeft w:val="0"/>
      <w:marRight w:val="0"/>
      <w:marTop w:val="0"/>
      <w:marBottom w:val="0"/>
      <w:divBdr>
        <w:top w:val="none" w:sz="0" w:space="0" w:color="auto"/>
        <w:left w:val="none" w:sz="0" w:space="0" w:color="auto"/>
        <w:bottom w:val="none" w:sz="0" w:space="0" w:color="auto"/>
        <w:right w:val="none" w:sz="0" w:space="0" w:color="auto"/>
      </w:divBdr>
      <w:divsChild>
        <w:div w:id="850877313">
          <w:marLeft w:val="0"/>
          <w:marRight w:val="0"/>
          <w:marTop w:val="0"/>
          <w:marBottom w:val="0"/>
          <w:divBdr>
            <w:top w:val="none" w:sz="0" w:space="0" w:color="auto"/>
            <w:left w:val="none" w:sz="0" w:space="0" w:color="auto"/>
            <w:bottom w:val="none" w:sz="0" w:space="0" w:color="auto"/>
            <w:right w:val="none" w:sz="0" w:space="0" w:color="auto"/>
          </w:divBdr>
          <w:divsChild>
            <w:div w:id="1876843845">
              <w:marLeft w:val="0"/>
              <w:marRight w:val="0"/>
              <w:marTop w:val="0"/>
              <w:marBottom w:val="0"/>
              <w:divBdr>
                <w:top w:val="none" w:sz="0" w:space="0" w:color="auto"/>
                <w:left w:val="none" w:sz="0" w:space="0" w:color="auto"/>
                <w:bottom w:val="none" w:sz="0" w:space="0" w:color="auto"/>
                <w:right w:val="none" w:sz="0" w:space="0" w:color="auto"/>
              </w:divBdr>
              <w:divsChild>
                <w:div w:id="18932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833792">
      <w:bodyDiv w:val="1"/>
      <w:marLeft w:val="0"/>
      <w:marRight w:val="0"/>
      <w:marTop w:val="0"/>
      <w:marBottom w:val="0"/>
      <w:divBdr>
        <w:top w:val="none" w:sz="0" w:space="0" w:color="auto"/>
        <w:left w:val="none" w:sz="0" w:space="0" w:color="auto"/>
        <w:bottom w:val="none" w:sz="0" w:space="0" w:color="auto"/>
        <w:right w:val="none" w:sz="0" w:space="0" w:color="auto"/>
      </w:divBdr>
      <w:divsChild>
        <w:div w:id="1954285335">
          <w:marLeft w:val="0"/>
          <w:marRight w:val="0"/>
          <w:marTop w:val="0"/>
          <w:marBottom w:val="0"/>
          <w:divBdr>
            <w:top w:val="none" w:sz="0" w:space="0" w:color="auto"/>
            <w:left w:val="none" w:sz="0" w:space="0" w:color="auto"/>
            <w:bottom w:val="none" w:sz="0" w:space="0" w:color="auto"/>
            <w:right w:val="none" w:sz="0" w:space="0" w:color="auto"/>
          </w:divBdr>
          <w:divsChild>
            <w:div w:id="1196313832">
              <w:marLeft w:val="0"/>
              <w:marRight w:val="0"/>
              <w:marTop w:val="0"/>
              <w:marBottom w:val="0"/>
              <w:divBdr>
                <w:top w:val="none" w:sz="0" w:space="0" w:color="auto"/>
                <w:left w:val="none" w:sz="0" w:space="0" w:color="auto"/>
                <w:bottom w:val="none" w:sz="0" w:space="0" w:color="auto"/>
                <w:right w:val="none" w:sz="0" w:space="0" w:color="auto"/>
              </w:divBdr>
              <w:divsChild>
                <w:div w:id="18039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18218">
      <w:bodyDiv w:val="1"/>
      <w:marLeft w:val="0"/>
      <w:marRight w:val="0"/>
      <w:marTop w:val="0"/>
      <w:marBottom w:val="0"/>
      <w:divBdr>
        <w:top w:val="none" w:sz="0" w:space="0" w:color="auto"/>
        <w:left w:val="none" w:sz="0" w:space="0" w:color="auto"/>
        <w:bottom w:val="none" w:sz="0" w:space="0" w:color="auto"/>
        <w:right w:val="none" w:sz="0" w:space="0" w:color="auto"/>
      </w:divBdr>
      <w:divsChild>
        <w:div w:id="1728725974">
          <w:marLeft w:val="0"/>
          <w:marRight w:val="0"/>
          <w:marTop w:val="0"/>
          <w:marBottom w:val="0"/>
          <w:divBdr>
            <w:top w:val="none" w:sz="0" w:space="0" w:color="auto"/>
            <w:left w:val="none" w:sz="0" w:space="0" w:color="auto"/>
            <w:bottom w:val="none" w:sz="0" w:space="0" w:color="auto"/>
            <w:right w:val="none" w:sz="0" w:space="0" w:color="auto"/>
          </w:divBdr>
          <w:divsChild>
            <w:div w:id="1185293354">
              <w:marLeft w:val="0"/>
              <w:marRight w:val="0"/>
              <w:marTop w:val="0"/>
              <w:marBottom w:val="0"/>
              <w:divBdr>
                <w:top w:val="none" w:sz="0" w:space="0" w:color="auto"/>
                <w:left w:val="none" w:sz="0" w:space="0" w:color="auto"/>
                <w:bottom w:val="none" w:sz="0" w:space="0" w:color="auto"/>
                <w:right w:val="none" w:sz="0" w:space="0" w:color="auto"/>
              </w:divBdr>
              <w:divsChild>
                <w:div w:id="11202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952026">
      <w:bodyDiv w:val="1"/>
      <w:marLeft w:val="0"/>
      <w:marRight w:val="0"/>
      <w:marTop w:val="0"/>
      <w:marBottom w:val="0"/>
      <w:divBdr>
        <w:top w:val="none" w:sz="0" w:space="0" w:color="auto"/>
        <w:left w:val="none" w:sz="0" w:space="0" w:color="auto"/>
        <w:bottom w:val="none" w:sz="0" w:space="0" w:color="auto"/>
        <w:right w:val="none" w:sz="0" w:space="0" w:color="auto"/>
      </w:divBdr>
    </w:div>
    <w:div w:id="2091151989">
      <w:bodyDiv w:val="1"/>
      <w:marLeft w:val="0"/>
      <w:marRight w:val="0"/>
      <w:marTop w:val="0"/>
      <w:marBottom w:val="0"/>
      <w:divBdr>
        <w:top w:val="none" w:sz="0" w:space="0" w:color="auto"/>
        <w:left w:val="none" w:sz="0" w:space="0" w:color="auto"/>
        <w:bottom w:val="none" w:sz="0" w:space="0" w:color="auto"/>
        <w:right w:val="none" w:sz="0" w:space="0" w:color="auto"/>
      </w:divBdr>
    </w:div>
    <w:div w:id="210530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doi.org/10.1073/pnas.0906865106&amp;" TargetMode="External"/><Relationship Id="rId3" Type="http://schemas.openxmlformats.org/officeDocument/2006/relationships/styles" Target="styles.xml"/><Relationship Id="rId21" Type="http://schemas.openxmlformats.org/officeDocument/2006/relationships/hyperlink" Target="https://quickstats.nass.usda.gov/"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doi.org/10.18651/RWP2023-06" TargetMode="External"/><Relationship Id="rId2" Type="http://schemas.openxmlformats.org/officeDocument/2006/relationships/numbering" Target="numbering.xml"/><Relationship Id="rId16" Type="http://schemas.openxmlformats.org/officeDocument/2006/relationships/hyperlink" Target="https://extension.okstate.edu/fact-sheets/stocking-rate-the-key-to-successful-livestock-production.html" TargetMode="External"/><Relationship Id="rId20" Type="http://schemas.openxmlformats.org/officeDocument/2006/relationships/hyperlink" Target="https://agcensus.library.cornell.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rism.oregonstate.edu" TargetMode="Externa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oi.org/10.1016/j.jhydrol.2023.130462"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ion.sdsu.edu/onlinethornthwaitereferenc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EBC93-029B-6445-AC59-3B447116F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16</Pages>
  <Words>4768</Words>
  <Characters>27179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31884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 Akat</dc:creator>
  <cp:keywords/>
  <dc:description/>
  <cp:lastModifiedBy>Shara Akat</cp:lastModifiedBy>
  <cp:revision>406</cp:revision>
  <dcterms:created xsi:type="dcterms:W3CDTF">2025-02-06T16:56:00Z</dcterms:created>
  <dcterms:modified xsi:type="dcterms:W3CDTF">2025-02-21T16:20:00Z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e9427865b728f6bdc07d1e27f8537089b68d538693ca49d8cea8054ec5029c90</vt:lpwstr>
  </property>
</Properties>
</file>