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2B69" w:rsidRPr="00540CDB" w:rsidRDefault="00A748D5" w:rsidP="00540CDB">
      <w:pPr>
        <w:spacing w:after="60"/>
        <w:jc w:val="center"/>
        <w:rPr>
          <w:sz w:val="32"/>
          <w:szCs w:val="32"/>
        </w:rPr>
      </w:pPr>
      <w:bookmarkStart w:id="0" w:name="_GoBack"/>
      <w:r w:rsidRPr="00540CDB">
        <w:rPr>
          <w:rFonts w:eastAsia="Calibri"/>
          <w:b/>
          <w:bCs/>
          <w:color w:val="1F4E79"/>
          <w:sz w:val="32"/>
          <w:szCs w:val="32"/>
        </w:rPr>
        <w:t>TASK 1: DNA/Protein Sequence Analysis</w:t>
      </w:r>
    </w:p>
    <w:bookmarkEnd w:id="0"/>
    <w:p w:rsidR="00BC2B69" w:rsidRPr="00540CDB" w:rsidRDefault="00A748D5">
      <w:pPr>
        <w:spacing w:after="300"/>
        <w:jc w:val="center"/>
      </w:pPr>
      <w:r w:rsidRPr="00540CDB">
        <w:rPr>
          <w:rFonts w:eastAsia="Calibri"/>
          <w:i/>
          <w:iCs/>
          <w:color w:val="444444"/>
        </w:rPr>
        <w:t>BLAST Homology Analysis of RecA Protein from Deinococcus radiodurans</w:t>
      </w:r>
    </w:p>
    <w:p w:rsidR="00BC2B69" w:rsidRPr="00540CDB" w:rsidRDefault="00A748D5">
      <w:pPr>
        <w:pStyle w:val="Heading1"/>
        <w:spacing w:before="300" w:after="150"/>
      </w:pPr>
      <w:r w:rsidRPr="00540CDB">
        <w:rPr>
          <w:b/>
          <w:bCs/>
          <w:color w:val="1F4E79"/>
        </w:rPr>
        <w:t>1. Introduction</w:t>
      </w:r>
    </w:p>
    <w:p w:rsidR="00BC2B69" w:rsidRPr="00540CDB" w:rsidRDefault="00A748D5">
      <w:pPr>
        <w:spacing w:after="150" w:line="300" w:lineRule="auto"/>
        <w:jc w:val="both"/>
      </w:pPr>
      <w:r w:rsidRPr="00540CDB">
        <w:rPr>
          <w:rFonts w:eastAsia="Calibri"/>
        </w:rPr>
        <w:t>The objective of this task was to retrieve a protein sequence from a public sequence database (NCBI), perform a homology search using BLAST (Basic Local Alignment Search Tool), and document and interpret the resulting alignment statistics. The protein sele</w:t>
      </w:r>
      <w:r w:rsidRPr="00540CDB">
        <w:rPr>
          <w:rFonts w:eastAsia="Calibri"/>
        </w:rPr>
        <w:t xml:space="preserve">cted for this analysis is RecA, a DNA-repair and homologous-recombination protein, from the extremophilic bacterium </w:t>
      </w:r>
      <w:r w:rsidRPr="005C6CEC">
        <w:rPr>
          <w:rFonts w:eastAsia="Calibri"/>
          <w:i/>
        </w:rPr>
        <w:t>Deinococcus radiodurans</w:t>
      </w:r>
      <w:r w:rsidRPr="00540CDB">
        <w:rPr>
          <w:rFonts w:eastAsia="Calibri"/>
        </w:rPr>
        <w:t xml:space="preserve"> — an organism renowned for its exceptional resistance to ionizing radiation and DNA damage, largely attributed to hi</w:t>
      </w:r>
      <w:r w:rsidRPr="00540CDB">
        <w:rPr>
          <w:rFonts w:eastAsia="Calibri"/>
        </w:rPr>
        <w:t>ghly efficient RecA-mediated repair pathways.</w:t>
      </w:r>
    </w:p>
    <w:p w:rsidR="00BC2B69" w:rsidRPr="00540CDB" w:rsidRDefault="00A748D5">
      <w:pPr>
        <w:pStyle w:val="Heading1"/>
        <w:spacing w:before="300" w:after="150"/>
      </w:pPr>
      <w:r w:rsidRPr="00540CDB">
        <w:rPr>
          <w:b/>
          <w:bCs/>
          <w:color w:val="1F4E79"/>
        </w:rPr>
        <w:t>2. Sequence Retrieval</w:t>
      </w:r>
    </w:p>
    <w:p w:rsidR="00BC2B69" w:rsidRPr="00540CDB" w:rsidRDefault="00A748D5">
      <w:pPr>
        <w:spacing w:after="150" w:line="300" w:lineRule="auto"/>
        <w:jc w:val="both"/>
      </w:pPr>
      <w:r w:rsidRPr="00540CDB">
        <w:rPr>
          <w:rFonts w:eastAsia="Calibri"/>
        </w:rPr>
        <w:t>The protein sequence was retrieved from the NCBI Protein database using the following record:</w:t>
      </w:r>
    </w:p>
    <w:p w:rsidR="00BC2B69" w:rsidRPr="00540CDB" w:rsidRDefault="00A748D5">
      <w:pPr>
        <w:pStyle w:val="ListParagraph"/>
        <w:numPr>
          <w:ilvl w:val="0"/>
          <w:numId w:val="1"/>
        </w:numPr>
        <w:spacing w:after="80" w:line="280" w:lineRule="auto"/>
      </w:pPr>
      <w:r w:rsidRPr="00540CDB">
        <w:rPr>
          <w:rFonts w:eastAsia="Calibri"/>
        </w:rPr>
        <w:t>Protein: RecA [Deinococcus radiodurans]</w:t>
      </w:r>
    </w:p>
    <w:p w:rsidR="00BC2B69" w:rsidRPr="00540CDB" w:rsidRDefault="00A748D5">
      <w:pPr>
        <w:pStyle w:val="ListParagraph"/>
        <w:numPr>
          <w:ilvl w:val="0"/>
          <w:numId w:val="1"/>
        </w:numPr>
        <w:spacing w:after="80" w:line="280" w:lineRule="auto"/>
      </w:pPr>
      <w:r w:rsidRPr="00540CDB">
        <w:rPr>
          <w:rFonts w:eastAsia="Calibri"/>
        </w:rPr>
        <w:t>GenBank Accession: BAA21330.1</w:t>
      </w:r>
    </w:p>
    <w:p w:rsidR="00BC2B69" w:rsidRPr="00540CDB" w:rsidRDefault="00A748D5">
      <w:pPr>
        <w:pStyle w:val="ListParagraph"/>
        <w:numPr>
          <w:ilvl w:val="0"/>
          <w:numId w:val="1"/>
        </w:numPr>
        <w:spacing w:after="80" w:line="280" w:lineRule="auto"/>
      </w:pPr>
      <w:r w:rsidRPr="00540CDB">
        <w:rPr>
          <w:rFonts w:eastAsia="Calibri"/>
        </w:rPr>
        <w:t>Sequence length: 363 ami</w:t>
      </w:r>
      <w:r w:rsidRPr="00540CDB">
        <w:rPr>
          <w:rFonts w:eastAsia="Calibri"/>
        </w:rPr>
        <w:t>no acids</w:t>
      </w:r>
    </w:p>
    <w:p w:rsidR="00BC2B69" w:rsidRPr="00540CDB" w:rsidRDefault="00A748D5">
      <w:pPr>
        <w:pStyle w:val="ListParagraph"/>
        <w:numPr>
          <w:ilvl w:val="0"/>
          <w:numId w:val="1"/>
        </w:numPr>
        <w:spacing w:after="80" w:line="280" w:lineRule="auto"/>
      </w:pPr>
      <w:r w:rsidRPr="00540CDB">
        <w:rPr>
          <w:rFonts w:eastAsia="Calibri"/>
        </w:rPr>
        <w:t>Source URL: ncbi.nlm.nih.gov/protein/BAA21330.1</w:t>
      </w:r>
    </w:p>
    <w:p w:rsidR="00BC2B69" w:rsidRPr="00540CDB" w:rsidRDefault="00A748D5">
      <w:pPr>
        <w:spacing w:after="150" w:line="300" w:lineRule="auto"/>
        <w:jc w:val="both"/>
      </w:pPr>
      <w:r w:rsidRPr="00540CDB">
        <w:rPr>
          <w:rFonts w:eastAsia="Calibri"/>
        </w:rPr>
        <w:t>The sequence was downloaded in FASTA format, shown below:</w:t>
      </w:r>
    </w:p>
    <w:p w:rsidR="00BC2B69" w:rsidRPr="00540CDB" w:rsidRDefault="00A748D5">
      <w:pPr>
        <w:spacing w:after="40"/>
      </w:pPr>
      <w:r w:rsidRPr="00540CDB">
        <w:rPr>
          <w:rFonts w:eastAsia="Consolas"/>
        </w:rPr>
        <w:t>&gt;BAA21330.1 RecA [Deinococcus radiodurans]</w:t>
      </w:r>
    </w:p>
    <w:p w:rsidR="00BC2B69" w:rsidRPr="00540CDB" w:rsidRDefault="00A748D5">
      <w:pPr>
        <w:spacing w:after="40"/>
      </w:pPr>
      <w:r w:rsidRPr="00540CDB">
        <w:rPr>
          <w:rFonts w:eastAsia="Consolas"/>
        </w:rPr>
        <w:t>MSKDATKEISAPTDAKERSKAIETAMSQIEKAFGKGSIMKLGAESKLDVQVVSTGSLSLDLALGVGGIPR</w:t>
      </w:r>
    </w:p>
    <w:p w:rsidR="00BC2B69" w:rsidRPr="00540CDB" w:rsidRDefault="00A748D5">
      <w:pPr>
        <w:spacing w:after="40"/>
      </w:pPr>
      <w:r w:rsidRPr="00540CDB">
        <w:rPr>
          <w:rFonts w:eastAsia="Consolas"/>
        </w:rPr>
        <w:t>GRITEIYGPESGGKTTLALAIVAQAQK</w:t>
      </w:r>
      <w:r w:rsidRPr="00540CDB">
        <w:rPr>
          <w:rFonts w:eastAsia="Consolas"/>
        </w:rPr>
        <w:t>AGGTCAFIDAEHALDPVYARALGVNTDELLVSQPDNGEQALEI</w:t>
      </w:r>
    </w:p>
    <w:p w:rsidR="00BC2B69" w:rsidRPr="00540CDB" w:rsidRDefault="00A748D5">
      <w:pPr>
        <w:spacing w:after="40"/>
      </w:pPr>
      <w:r w:rsidRPr="00540CDB">
        <w:rPr>
          <w:rFonts w:eastAsia="Consolas"/>
        </w:rPr>
        <w:t>MELLVRSGAIDVVVVDSVAALTPRAEIEGDMGDSLPGLQARLMSQALRKLTAILSKTGTAAIFINQVREK</w:t>
      </w:r>
    </w:p>
    <w:p w:rsidR="00BC2B69" w:rsidRPr="00540CDB" w:rsidRDefault="00A748D5">
      <w:pPr>
        <w:spacing w:after="40"/>
      </w:pPr>
      <w:r w:rsidRPr="00540CDB">
        <w:rPr>
          <w:rFonts w:eastAsia="Consolas"/>
        </w:rPr>
        <w:t>IGVMYGNPETTTGGRALKFYASVRLDVRKIGQPTKVGNDAVANTVKIKTVKNKVAAPFKEVELALVYGKG</w:t>
      </w:r>
    </w:p>
    <w:p w:rsidR="00BC2B69" w:rsidRPr="00540CDB" w:rsidRDefault="00A748D5">
      <w:pPr>
        <w:spacing w:after="40"/>
      </w:pPr>
      <w:r w:rsidRPr="00540CDB">
        <w:rPr>
          <w:rFonts w:eastAsia="Consolas"/>
        </w:rPr>
        <w:t>FDQLSDLVGLAADMDIIKKAGSFYSYGDERIGQGKEKTIAYIAERPEMEQEIRDRVMAAIRAGNAGEAPA</w:t>
      </w:r>
    </w:p>
    <w:p w:rsidR="00BC2B69" w:rsidRPr="00540CDB" w:rsidRDefault="00A748D5">
      <w:pPr>
        <w:spacing w:after="40"/>
      </w:pPr>
      <w:r w:rsidRPr="00540CDB">
        <w:rPr>
          <w:rFonts w:eastAsia="Consolas"/>
        </w:rPr>
        <w:t>LAPAPAAPEAAEA</w:t>
      </w:r>
    </w:p>
    <w:p w:rsidR="00BC2B69" w:rsidRDefault="00A748D5">
      <w:pPr>
        <w:spacing w:before="150"/>
        <w:jc w:val="center"/>
      </w:pPr>
      <w:r w:rsidRPr="00540CDB">
        <w:rPr>
          <w:noProof/>
        </w:rPr>
        <w:drawing>
          <wp:inline distT="0" distB="0" distL="0" distR="0">
            <wp:extent cx="5334000" cy="2790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CDB" w:rsidRPr="00540CDB" w:rsidRDefault="00540CDB">
      <w:pPr>
        <w:spacing w:before="150"/>
        <w:jc w:val="center"/>
      </w:pPr>
    </w:p>
    <w:p w:rsidR="00BC2B69" w:rsidRDefault="00A748D5">
      <w:pPr>
        <w:spacing w:before="80" w:after="240"/>
        <w:jc w:val="center"/>
        <w:rPr>
          <w:rFonts w:eastAsia="Calibri"/>
          <w:i/>
          <w:iCs/>
          <w:color w:val="555555"/>
        </w:rPr>
      </w:pPr>
      <w:r w:rsidRPr="00540CDB">
        <w:rPr>
          <w:rFonts w:eastAsia="Calibri"/>
          <w:i/>
          <w:iCs/>
          <w:color w:val="555555"/>
        </w:rPr>
        <w:t>Figure 1. NCBI Protein record (FASTA view) for RecA, Deinococcus radiodurans (GenBank BAA21330.1).</w:t>
      </w:r>
    </w:p>
    <w:p w:rsidR="00540CDB" w:rsidRPr="00540CDB" w:rsidRDefault="00540CDB">
      <w:pPr>
        <w:spacing w:before="80" w:after="240"/>
        <w:jc w:val="center"/>
      </w:pPr>
    </w:p>
    <w:p w:rsidR="00BC2B69" w:rsidRPr="00540CDB" w:rsidRDefault="00A748D5">
      <w:pPr>
        <w:pStyle w:val="Heading1"/>
        <w:spacing w:before="300" w:after="150"/>
      </w:pPr>
      <w:r w:rsidRPr="00540CDB">
        <w:rPr>
          <w:b/>
          <w:bCs/>
          <w:color w:val="1F4E79"/>
        </w:rPr>
        <w:t>3. BLAST Methodology</w:t>
      </w:r>
    </w:p>
    <w:p w:rsidR="00BC2B69" w:rsidRPr="00540CDB" w:rsidRDefault="00A748D5">
      <w:pPr>
        <w:spacing w:after="150" w:line="300" w:lineRule="auto"/>
        <w:jc w:val="both"/>
      </w:pPr>
      <w:r w:rsidRPr="00540CDB">
        <w:rPr>
          <w:rFonts w:eastAsia="Calibri"/>
        </w:rPr>
        <w:t>A protein-protein BLAST (BLASTP) search was performed against the Protein Data Bank (PDB) sequence database using the N</w:t>
      </w:r>
      <w:r w:rsidRPr="00540CDB">
        <w:rPr>
          <w:rFonts w:eastAsia="Calibri"/>
        </w:rPr>
        <w:t>CBI BLAST web suite, in order to identify structurally characterized homologs of the query RecA sequence. Default BLASTP scoring parameters were used (BLOSUM62 substitution matrix, compositional matrix adjustment enabled).</w:t>
      </w:r>
    </w:p>
    <w:p w:rsidR="00BC2B69" w:rsidRPr="00540CDB" w:rsidRDefault="00A748D5">
      <w:pPr>
        <w:pStyle w:val="ListParagraph"/>
        <w:numPr>
          <w:ilvl w:val="0"/>
          <w:numId w:val="1"/>
        </w:numPr>
        <w:spacing w:after="80" w:line="280" w:lineRule="auto"/>
      </w:pPr>
      <w:r w:rsidRPr="00540CDB">
        <w:rPr>
          <w:rFonts w:eastAsia="Calibri"/>
        </w:rPr>
        <w:t>Program: BLASTP</w:t>
      </w:r>
    </w:p>
    <w:p w:rsidR="00BC2B69" w:rsidRPr="00540CDB" w:rsidRDefault="00A748D5">
      <w:pPr>
        <w:pStyle w:val="ListParagraph"/>
        <w:numPr>
          <w:ilvl w:val="0"/>
          <w:numId w:val="1"/>
        </w:numPr>
        <w:spacing w:after="80" w:line="280" w:lineRule="auto"/>
      </w:pPr>
      <w:r w:rsidRPr="00540CDB">
        <w:rPr>
          <w:rFonts w:eastAsia="Calibri"/>
        </w:rPr>
        <w:t>Database: pdb (Protein Data Bank)</w:t>
      </w:r>
    </w:p>
    <w:p w:rsidR="00BC2B69" w:rsidRPr="00540CDB" w:rsidRDefault="00A748D5">
      <w:pPr>
        <w:pStyle w:val="ListParagraph"/>
        <w:numPr>
          <w:ilvl w:val="0"/>
          <w:numId w:val="1"/>
        </w:numPr>
        <w:spacing w:after="80" w:line="280" w:lineRule="auto"/>
      </w:pPr>
      <w:r w:rsidRPr="00540CDB">
        <w:rPr>
          <w:rFonts w:eastAsia="Calibri"/>
        </w:rPr>
        <w:t>Query length: 363 residues</w:t>
      </w:r>
    </w:p>
    <w:p w:rsidR="00BC2B69" w:rsidRPr="00540CDB" w:rsidRDefault="00A748D5">
      <w:pPr>
        <w:pStyle w:val="ListParagraph"/>
        <w:numPr>
          <w:ilvl w:val="0"/>
          <w:numId w:val="1"/>
        </w:numPr>
        <w:spacing w:after="80" w:line="280" w:lineRule="auto"/>
      </w:pPr>
      <w:r w:rsidRPr="00540CDB">
        <w:rPr>
          <w:rFonts w:eastAsia="Calibri"/>
        </w:rPr>
        <w:t>Request ID (RID): 3A9FVZXT016</w:t>
      </w:r>
    </w:p>
    <w:p w:rsidR="00BC2B69" w:rsidRPr="00540CDB" w:rsidRDefault="00A748D5">
      <w:pPr>
        <w:spacing w:before="150"/>
        <w:jc w:val="center"/>
      </w:pPr>
      <w:r w:rsidRPr="00540CDB">
        <w:rPr>
          <w:noProof/>
        </w:rPr>
        <w:drawing>
          <wp:inline distT="0" distB="0" distL="0" distR="0">
            <wp:extent cx="5334000" cy="2809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B69" w:rsidRPr="00540CDB" w:rsidRDefault="00A748D5">
      <w:pPr>
        <w:spacing w:before="80" w:after="240"/>
        <w:jc w:val="center"/>
      </w:pPr>
      <w:r w:rsidRPr="00540CDB">
        <w:rPr>
          <w:rFonts w:eastAsia="Calibri"/>
          <w:i/>
          <w:iCs/>
          <w:color w:val="555555"/>
        </w:rPr>
        <w:t>Figure 2. BLASTP job summary showing search parameters and query metadata.</w:t>
      </w:r>
    </w:p>
    <w:p w:rsidR="00BC2B69" w:rsidRPr="00540CDB" w:rsidRDefault="00A748D5">
      <w:pPr>
        <w:pStyle w:val="Heading1"/>
        <w:spacing w:before="300" w:after="150"/>
      </w:pPr>
      <w:r w:rsidRPr="00540CDB">
        <w:rPr>
          <w:b/>
          <w:bCs/>
          <w:color w:val="1F4E79"/>
        </w:rPr>
        <w:t>4. Results</w:t>
      </w:r>
    </w:p>
    <w:p w:rsidR="00BC2B69" w:rsidRPr="00540CDB" w:rsidRDefault="00A748D5">
      <w:pPr>
        <w:pStyle w:val="Heading2"/>
        <w:spacing w:before="220" w:after="100"/>
        <w:rPr>
          <w:sz w:val="32"/>
          <w:szCs w:val="32"/>
        </w:rPr>
      </w:pPr>
      <w:r w:rsidRPr="00540CDB">
        <w:rPr>
          <w:b/>
          <w:bCs/>
          <w:color w:val="2E75B6"/>
          <w:sz w:val="32"/>
          <w:szCs w:val="32"/>
        </w:rPr>
        <w:t>4.1 Top-Scoring Alignment</w:t>
      </w:r>
    </w:p>
    <w:p w:rsidR="00BC2B69" w:rsidRPr="00540CDB" w:rsidRDefault="00A748D5">
      <w:pPr>
        <w:spacing w:after="150" w:line="300" w:lineRule="auto"/>
        <w:jc w:val="both"/>
      </w:pPr>
      <w:r w:rsidRPr="00540CDB">
        <w:rPr>
          <w:rFonts w:eastAsia="Calibri"/>
        </w:rPr>
        <w:t xml:space="preserve">The single best alignment was against PDB entry 1XP8, Chain A — the crystal structure of RecA from </w:t>
      </w:r>
      <w:r w:rsidRPr="005C6CEC">
        <w:rPr>
          <w:rFonts w:eastAsia="Calibri"/>
          <w:i/>
        </w:rPr>
        <w:t>Deinococcus</w:t>
      </w:r>
      <w:r w:rsidRPr="00540CDB">
        <w:rPr>
          <w:rFonts w:eastAsia="Calibri"/>
        </w:rPr>
        <w:t xml:space="preserve"> </w:t>
      </w:r>
      <w:r w:rsidRPr="005C6CEC">
        <w:rPr>
          <w:rFonts w:eastAsia="Calibri"/>
          <w:i/>
        </w:rPr>
        <w:t>radiodurans</w:t>
      </w:r>
      <w:r w:rsidRPr="00540CDB">
        <w:rPr>
          <w:rFonts w:eastAsia="Calibri"/>
        </w:rPr>
        <w:t xml:space="preserve"> itself — confirming the correctness of the search and providing a perfect internal control.</w:t>
      </w:r>
    </w:p>
    <w:p w:rsidR="00BC2B69" w:rsidRPr="00540CDB" w:rsidRDefault="00A748D5">
      <w:pPr>
        <w:pStyle w:val="ListParagraph"/>
        <w:numPr>
          <w:ilvl w:val="0"/>
          <w:numId w:val="1"/>
        </w:numPr>
        <w:spacing w:after="80" w:line="280" w:lineRule="auto"/>
      </w:pPr>
      <w:r w:rsidRPr="00540CDB">
        <w:rPr>
          <w:rFonts w:eastAsia="Calibri"/>
        </w:rPr>
        <w:t>Sequence ID: 1XP8_A  (Subject length: 366</w:t>
      </w:r>
      <w:r w:rsidRPr="00540CDB">
        <w:rPr>
          <w:rFonts w:eastAsia="Calibri"/>
        </w:rPr>
        <w:t xml:space="preserve"> aa)</w:t>
      </w:r>
    </w:p>
    <w:p w:rsidR="00BC2B69" w:rsidRPr="00540CDB" w:rsidRDefault="00A748D5">
      <w:pPr>
        <w:pStyle w:val="ListParagraph"/>
        <w:numPr>
          <w:ilvl w:val="0"/>
          <w:numId w:val="1"/>
        </w:numPr>
        <w:spacing w:after="80" w:line="280" w:lineRule="auto"/>
      </w:pPr>
      <w:r w:rsidRPr="00540CDB">
        <w:rPr>
          <w:rFonts w:eastAsia="Calibri"/>
        </w:rPr>
        <w:t>Bit score: 723 bits (raw score 1865)</w:t>
      </w:r>
    </w:p>
    <w:p w:rsidR="00BC2B69" w:rsidRPr="00540CDB" w:rsidRDefault="00A748D5">
      <w:pPr>
        <w:pStyle w:val="ListParagraph"/>
        <w:numPr>
          <w:ilvl w:val="0"/>
          <w:numId w:val="1"/>
        </w:numPr>
        <w:spacing w:after="80" w:line="280" w:lineRule="auto"/>
      </w:pPr>
      <w:r w:rsidRPr="00540CDB">
        <w:rPr>
          <w:rFonts w:eastAsia="Calibri"/>
        </w:rPr>
        <w:t>Expect value (E-value): 0.0</w:t>
      </w:r>
    </w:p>
    <w:p w:rsidR="00BC2B69" w:rsidRPr="00540CDB" w:rsidRDefault="00A748D5">
      <w:pPr>
        <w:pStyle w:val="ListParagraph"/>
        <w:numPr>
          <w:ilvl w:val="0"/>
          <w:numId w:val="1"/>
        </w:numPr>
        <w:spacing w:after="80" w:line="280" w:lineRule="auto"/>
      </w:pPr>
      <w:r w:rsidRPr="00540CDB">
        <w:rPr>
          <w:rFonts w:eastAsia="Calibri"/>
        </w:rPr>
        <w:t>Identity: 363/363 residues (100%)</w:t>
      </w:r>
    </w:p>
    <w:p w:rsidR="00BC2B69" w:rsidRPr="00540CDB" w:rsidRDefault="00A748D5">
      <w:pPr>
        <w:pStyle w:val="ListParagraph"/>
        <w:numPr>
          <w:ilvl w:val="0"/>
          <w:numId w:val="1"/>
        </w:numPr>
        <w:spacing w:after="80" w:line="280" w:lineRule="auto"/>
      </w:pPr>
      <w:r w:rsidRPr="00540CDB">
        <w:rPr>
          <w:rFonts w:eastAsia="Calibri"/>
        </w:rPr>
        <w:t>Positives (similarity): 363/363 residues (100%)</w:t>
      </w:r>
    </w:p>
    <w:p w:rsidR="00BC2B69" w:rsidRPr="00540CDB" w:rsidRDefault="00A748D5">
      <w:pPr>
        <w:pStyle w:val="ListParagraph"/>
        <w:numPr>
          <w:ilvl w:val="0"/>
          <w:numId w:val="1"/>
        </w:numPr>
        <w:spacing w:after="80" w:line="280" w:lineRule="auto"/>
      </w:pPr>
      <w:r w:rsidRPr="00540CDB">
        <w:rPr>
          <w:rFonts w:eastAsia="Calibri"/>
        </w:rPr>
        <w:t>Gaps: 0/363 (0%)</w:t>
      </w:r>
    </w:p>
    <w:p w:rsidR="00BC2B69" w:rsidRPr="00540CDB" w:rsidRDefault="00A748D5">
      <w:pPr>
        <w:spacing w:before="150"/>
        <w:jc w:val="center"/>
      </w:pPr>
      <w:r w:rsidRPr="00540CDB">
        <w:rPr>
          <w:noProof/>
        </w:rPr>
        <w:drawing>
          <wp:inline distT="0" distB="0" distL="0" distR="0">
            <wp:extent cx="5334000" cy="2809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B69" w:rsidRDefault="00A748D5">
      <w:pPr>
        <w:spacing w:before="80" w:after="240"/>
        <w:jc w:val="center"/>
        <w:rPr>
          <w:rFonts w:eastAsia="Calibri"/>
          <w:i/>
          <w:iCs/>
          <w:color w:val="555555"/>
        </w:rPr>
      </w:pPr>
      <w:r w:rsidRPr="00540CDB">
        <w:rPr>
          <w:rFonts w:eastAsia="Calibri"/>
          <w:i/>
          <w:iCs/>
          <w:color w:val="555555"/>
        </w:rPr>
        <w:t xml:space="preserve">Figure 3. Pairwise alignment of the query sequence against PDB 1XP8 Chain A, showing </w:t>
      </w:r>
      <w:r w:rsidRPr="00540CDB">
        <w:rPr>
          <w:rFonts w:eastAsia="Calibri"/>
          <w:i/>
          <w:iCs/>
          <w:color w:val="555555"/>
        </w:rPr>
        <w:t>100% identity across the full length.</w:t>
      </w:r>
    </w:p>
    <w:p w:rsidR="00540CDB" w:rsidRPr="00540CDB" w:rsidRDefault="00540CDB">
      <w:pPr>
        <w:spacing w:before="80" w:after="240"/>
        <w:jc w:val="center"/>
      </w:pPr>
    </w:p>
    <w:p w:rsidR="00BC2B69" w:rsidRDefault="00A748D5">
      <w:pPr>
        <w:pStyle w:val="Heading2"/>
        <w:spacing w:before="220" w:after="100"/>
        <w:rPr>
          <w:b/>
          <w:bCs/>
          <w:color w:val="2E75B6"/>
          <w:sz w:val="32"/>
          <w:szCs w:val="32"/>
        </w:rPr>
      </w:pPr>
      <w:r w:rsidRPr="00540CDB">
        <w:rPr>
          <w:b/>
          <w:bCs/>
          <w:color w:val="2E75B6"/>
          <w:sz w:val="32"/>
          <w:szCs w:val="32"/>
        </w:rPr>
        <w:t>4.2 Homologous Sequences Identified</w:t>
      </w:r>
    </w:p>
    <w:p w:rsidR="00540CDB" w:rsidRPr="00540CDB" w:rsidRDefault="00540CDB">
      <w:pPr>
        <w:pStyle w:val="Heading2"/>
        <w:spacing w:before="220" w:after="100"/>
        <w:rPr>
          <w:sz w:val="32"/>
          <w:szCs w:val="32"/>
        </w:rPr>
      </w:pPr>
    </w:p>
    <w:p w:rsidR="00BC2B69" w:rsidRDefault="00A748D5">
      <w:pPr>
        <w:spacing w:after="150" w:line="300" w:lineRule="auto"/>
        <w:jc w:val="both"/>
        <w:rPr>
          <w:rFonts w:eastAsia="Calibri"/>
        </w:rPr>
      </w:pPr>
      <w:r w:rsidRPr="00540CDB">
        <w:rPr>
          <w:rFonts w:eastAsia="Calibri"/>
        </w:rPr>
        <w:t>Beyond the identical match, BLASTP identified 22 additional homologous RecA/RecA-family structures from diverse bacterial (and one archaeal) species, with query coverage generally be</w:t>
      </w:r>
      <w:r w:rsidRPr="00540CDB">
        <w:rPr>
          <w:rFonts w:eastAsia="Calibri"/>
        </w:rPr>
        <w:t>tween 88–96% and percent identity ranging from ~56% to ~65% for true RecA orthologs. The table below summarizes representative top hits, ranked by bit score:</w:t>
      </w:r>
    </w:p>
    <w:p w:rsidR="00540CDB" w:rsidRPr="00540CDB" w:rsidRDefault="00540CDB">
      <w:pPr>
        <w:spacing w:after="150" w:line="300" w:lineRule="auto"/>
        <w:jc w:val="both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4090"/>
        <w:gridCol w:w="699"/>
        <w:gridCol w:w="893"/>
        <w:gridCol w:w="889"/>
        <w:gridCol w:w="917"/>
        <w:gridCol w:w="1012"/>
      </w:tblGrid>
      <w:tr w:rsidR="00BC2B69" w:rsidRPr="00540C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b/>
                <w:bCs/>
                <w:color w:val="FFFFFF"/>
              </w:rPr>
              <w:t>#</w:t>
            </w:r>
          </w:p>
        </w:tc>
        <w:tc>
          <w:tcPr>
            <w:tcW w:w="4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r w:rsidRPr="00540CDB">
              <w:rPr>
                <w:rFonts w:eastAsia="Calibri"/>
                <w:b/>
                <w:bCs/>
                <w:color w:val="FFFFFF"/>
              </w:rPr>
              <w:t>Description / Organism</w:t>
            </w:r>
          </w:p>
        </w:tc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b/>
                <w:bCs/>
                <w:color w:val="FFFFFF"/>
              </w:rPr>
              <w:t>Score</w:t>
            </w:r>
          </w:p>
        </w:tc>
        <w:tc>
          <w:tcPr>
            <w:tcW w:w="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b/>
                <w:bCs/>
                <w:color w:val="FFFFFF"/>
              </w:rPr>
              <w:t>Query Cover</w:t>
            </w:r>
          </w:p>
        </w:tc>
        <w:tc>
          <w:tcPr>
            <w:tcW w:w="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b/>
                <w:bCs/>
                <w:color w:val="FFFFFF"/>
              </w:rPr>
              <w:t>E value</w:t>
            </w:r>
          </w:p>
        </w:tc>
        <w:tc>
          <w:tcPr>
            <w:tcW w:w="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b/>
                <w:bCs/>
                <w:color w:val="FFFFFF"/>
              </w:rPr>
              <w:t>Identity</w:t>
            </w:r>
          </w:p>
        </w:tc>
        <w:tc>
          <w:tcPr>
            <w:tcW w:w="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b/>
                <w:bCs/>
                <w:color w:val="FFFFFF"/>
              </w:rPr>
              <w:t>PDB ID</w:t>
            </w:r>
          </w:p>
        </w:tc>
      </w:tr>
      <w:tr w:rsidR="00BC2B69" w:rsidRPr="00540CDB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1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r w:rsidRPr="00540CDB">
              <w:rPr>
                <w:rFonts w:eastAsia="Calibri"/>
                <w:color w:val="000000"/>
              </w:rPr>
              <w:t>Chain A, RecA protein — Deinococcus radiodurans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723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100%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0.0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100.00%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1XP8_A</w:t>
            </w:r>
          </w:p>
        </w:tc>
      </w:tr>
      <w:tr w:rsidR="00BC2B69" w:rsidRPr="00540CDB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2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r w:rsidRPr="00540CDB">
              <w:rPr>
                <w:rFonts w:eastAsia="Calibri"/>
                <w:color w:val="000000"/>
              </w:rPr>
              <w:t>Chain A, RecA — Mycolicibacterium smegmatis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415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94%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6e-145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59.48%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1UBC_A</w:t>
            </w:r>
          </w:p>
        </w:tc>
      </w:tr>
      <w:tr w:rsidR="00BC2B69" w:rsidRPr="00540CDB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3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r w:rsidRPr="00540CDB">
              <w:rPr>
                <w:rFonts w:eastAsia="Calibri"/>
                <w:color w:val="000000"/>
              </w:rPr>
              <w:t>Protein recA — Mycolicibacterium smegmatis MC2 155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414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94%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2e-144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59.18%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2ZR0_A</w:t>
            </w:r>
          </w:p>
        </w:tc>
      </w:tr>
      <w:tr w:rsidR="00BC2B69" w:rsidRPr="00540CDB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4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r w:rsidRPr="00540CDB">
              <w:rPr>
                <w:rFonts w:eastAsia="Calibri"/>
                <w:color w:val="000000"/>
              </w:rPr>
              <w:t>Protein RecA — Streptococcus pneumoniae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411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88%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9e-143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64.71%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8AMD_A</w:t>
            </w:r>
          </w:p>
        </w:tc>
      </w:tr>
      <w:tr w:rsidR="00BC2B69" w:rsidRPr="00540CDB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5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r w:rsidRPr="00540CDB">
              <w:rPr>
                <w:rFonts w:eastAsia="Calibri"/>
                <w:color w:val="000000"/>
              </w:rPr>
              <w:t>Protein RecA — Escherichia coli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409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88%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1e-142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61.06%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7JY6_A</w:t>
            </w:r>
          </w:p>
        </w:tc>
      </w:tr>
      <w:tr w:rsidR="00BC2B69" w:rsidRPr="00540CDB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6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r w:rsidRPr="00540CDB">
              <w:rPr>
                <w:rFonts w:eastAsia="Calibri"/>
                <w:color w:val="000000"/>
              </w:rPr>
              <w:t>RecA protein — Escherichia coli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408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88%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3e-142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61.06%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1N03_A</w:t>
            </w:r>
          </w:p>
        </w:tc>
      </w:tr>
      <w:tr w:rsidR="00BC2B69" w:rsidRPr="00540CDB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7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r w:rsidRPr="00540CDB">
              <w:rPr>
                <w:rFonts w:eastAsia="Calibri"/>
                <w:color w:val="000000"/>
              </w:rPr>
              <w:t>Protein RecA — Klebsiella variicola 342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408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88%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3e-142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61.06%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9UOO_A</w:t>
            </w:r>
          </w:p>
        </w:tc>
      </w:tr>
      <w:tr w:rsidR="00BC2B69" w:rsidRPr="00540CDB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8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r w:rsidRPr="00540CDB">
              <w:rPr>
                <w:rFonts w:eastAsia="Calibri"/>
                <w:color w:val="000000"/>
              </w:rPr>
              <w:t>Protein RecA — Mycobacterium tuberculosis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406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89%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1e-141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58.95%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4OQF_A</w:t>
            </w:r>
          </w:p>
        </w:tc>
      </w:tr>
      <w:tr w:rsidR="00BC2B69" w:rsidRPr="00540CDB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9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r w:rsidRPr="00540CDB">
              <w:rPr>
                <w:rFonts w:eastAsia="Calibri"/>
                <w:color w:val="000000"/>
              </w:rPr>
              <w:t>Protein RecA — Herbaspirillum seropedicae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394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96%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1e-136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58.74%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5JRJ_A</w:t>
            </w:r>
          </w:p>
        </w:tc>
      </w:tr>
      <w:tr w:rsidR="00BC2B69" w:rsidRPr="00540CDB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10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r w:rsidRPr="00540CDB">
              <w:rPr>
                <w:rFonts w:eastAsia="Calibri"/>
                <w:color w:val="000000"/>
              </w:rPr>
              <w:t>Chain D, Protein RecA — Pseudomonas aeruginosa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392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89%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5e-136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55.96%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8S70_D</w:t>
            </w:r>
          </w:p>
        </w:tc>
      </w:tr>
      <w:tr w:rsidR="00BC2B69" w:rsidRPr="00540CDB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11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r w:rsidRPr="00540CDB">
              <w:rPr>
                <w:rFonts w:eastAsia="Calibri"/>
                <w:color w:val="000000"/>
              </w:rPr>
              <w:t>Protein recA — Thermotoga maritima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368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89%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3e-126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55.62%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3HR8_A</w:t>
            </w:r>
          </w:p>
        </w:tc>
      </w:tr>
      <w:tr w:rsidR="00BC2B69" w:rsidRPr="00540CDB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12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r w:rsidRPr="00540CDB">
              <w:rPr>
                <w:rFonts w:eastAsia="Calibri"/>
                <w:color w:val="000000"/>
              </w:rPr>
              <w:t>DNA repair/recombination protein RadB — Thermococcus kodakarensis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57.4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44%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7e-09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35.67%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2B69" w:rsidRPr="00540CDB" w:rsidRDefault="00A748D5">
            <w:pPr>
              <w:jc w:val="center"/>
            </w:pPr>
            <w:r w:rsidRPr="00540CDB">
              <w:rPr>
                <w:rFonts w:eastAsia="Calibri"/>
                <w:color w:val="000000"/>
              </w:rPr>
              <w:t>2CVF_A</w:t>
            </w:r>
          </w:p>
        </w:tc>
      </w:tr>
    </w:tbl>
    <w:p w:rsidR="00BC2B69" w:rsidRPr="00540CDB" w:rsidRDefault="00A748D5">
      <w:pPr>
        <w:spacing w:before="80" w:after="240"/>
        <w:jc w:val="center"/>
      </w:pPr>
      <w:r w:rsidRPr="00540CDB">
        <w:rPr>
          <w:rFonts w:eastAsia="Calibri"/>
          <w:i/>
          <w:iCs/>
          <w:color w:val="555555"/>
        </w:rPr>
        <w:t>Table 1. Selected BLASTP hits against the PDB database (ranked by bit score).</w:t>
      </w:r>
    </w:p>
    <w:p w:rsidR="00BC2B69" w:rsidRPr="00540CDB" w:rsidRDefault="00A748D5">
      <w:pPr>
        <w:spacing w:before="150"/>
        <w:jc w:val="center"/>
      </w:pPr>
      <w:r w:rsidRPr="00540CDB">
        <w:rPr>
          <w:noProof/>
        </w:rPr>
        <w:drawing>
          <wp:inline distT="0" distB="0" distL="0" distR="0">
            <wp:extent cx="5334000" cy="2809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B69" w:rsidRPr="00540CDB" w:rsidRDefault="00A748D5">
      <w:pPr>
        <w:spacing w:before="80" w:after="240"/>
        <w:jc w:val="center"/>
      </w:pPr>
      <w:r w:rsidRPr="00540CDB">
        <w:rPr>
          <w:rFonts w:eastAsia="Calibri"/>
          <w:i/>
          <w:iCs/>
          <w:color w:val="555555"/>
        </w:rPr>
        <w:t>Figure 4. NCBI BLAST "Descriptions" results table (23 significant alignments).</w:t>
      </w:r>
    </w:p>
    <w:p w:rsidR="00BC2B69" w:rsidRPr="00540CDB" w:rsidRDefault="00A748D5">
      <w:r w:rsidRPr="00540CDB">
        <w:br w:type="page"/>
      </w:r>
    </w:p>
    <w:p w:rsidR="00BC2B69" w:rsidRPr="00540CDB" w:rsidRDefault="00A748D5">
      <w:pPr>
        <w:pStyle w:val="Heading2"/>
        <w:spacing w:before="220" w:after="100"/>
        <w:rPr>
          <w:sz w:val="32"/>
          <w:szCs w:val="32"/>
        </w:rPr>
      </w:pPr>
      <w:r w:rsidRPr="00540CDB">
        <w:rPr>
          <w:b/>
          <w:bCs/>
          <w:color w:val="2E75B6"/>
          <w:sz w:val="32"/>
          <w:szCs w:val="32"/>
        </w:rPr>
        <w:t>4.3 Conserved Domain / Functional Region Analysis</w:t>
      </w:r>
    </w:p>
    <w:p w:rsidR="00BC2B69" w:rsidRPr="00540CDB" w:rsidRDefault="00A748D5">
      <w:pPr>
        <w:spacing w:after="150" w:line="300" w:lineRule="auto"/>
        <w:jc w:val="both"/>
      </w:pPr>
      <w:r w:rsidRPr="00540CDB">
        <w:rPr>
          <w:rFonts w:eastAsia="Calibri"/>
        </w:rPr>
        <w:t>The Graphic Summary view highlighted conserved functional features embedded within the alignment region, most notably the ATP</w:t>
      </w:r>
      <w:r w:rsidRPr="00540CDB">
        <w:rPr>
          <w:rFonts w:eastAsia="Calibri"/>
        </w:rPr>
        <w:t>-binding site and the hexamer interface, both of which are hallmark features of the RecA/RAD51 recombinase superfamily. The conserved-domain search confirmed a specific hit spanning nearly the entire query length (residues ~1–360) that was classified under</w:t>
      </w:r>
      <w:r w:rsidRPr="00540CDB">
        <w:rPr>
          <w:rFonts w:eastAsia="Calibri"/>
        </w:rPr>
        <w:t xml:space="preserve"> the RecA superfamily architecture, consistent with the protein's established role in ATP-dependent homologous recombination and DNA strand-exchange.</w:t>
      </w:r>
    </w:p>
    <w:p w:rsidR="00BC2B69" w:rsidRPr="00540CDB" w:rsidRDefault="00A748D5">
      <w:pPr>
        <w:spacing w:before="150"/>
        <w:jc w:val="center"/>
      </w:pPr>
      <w:r w:rsidRPr="00540CDB">
        <w:rPr>
          <w:noProof/>
        </w:rPr>
        <w:drawing>
          <wp:inline distT="0" distB="0" distL="0" distR="0">
            <wp:extent cx="5334000" cy="285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B69" w:rsidRDefault="00A748D5">
      <w:pPr>
        <w:spacing w:before="80" w:after="240"/>
        <w:jc w:val="center"/>
        <w:rPr>
          <w:rFonts w:eastAsia="Calibri"/>
          <w:i/>
          <w:iCs/>
          <w:color w:val="555555"/>
        </w:rPr>
      </w:pPr>
      <w:r w:rsidRPr="00540CDB">
        <w:rPr>
          <w:rFonts w:eastAsia="Calibri"/>
          <w:i/>
          <w:iCs/>
          <w:color w:val="555555"/>
        </w:rPr>
        <w:t>Figure 5. Graphic Summary showing conserved domain architecture (RecA superfamily, ATP-binding site, hex</w:t>
      </w:r>
      <w:r w:rsidRPr="00540CDB">
        <w:rPr>
          <w:rFonts w:eastAsia="Calibri"/>
          <w:i/>
          <w:iCs/>
          <w:color w:val="555555"/>
        </w:rPr>
        <w:t>amer interface) and distribution of the top 35 BLAST hits across 23 subject sequences.</w:t>
      </w:r>
    </w:p>
    <w:p w:rsidR="00540CDB" w:rsidRPr="00540CDB" w:rsidRDefault="00540CDB">
      <w:pPr>
        <w:spacing w:before="80" w:after="240"/>
        <w:jc w:val="center"/>
      </w:pPr>
    </w:p>
    <w:p w:rsidR="00540CDB" w:rsidRPr="00540CDB" w:rsidRDefault="00A748D5">
      <w:pPr>
        <w:pStyle w:val="Heading1"/>
        <w:spacing w:before="300" w:after="150"/>
        <w:rPr>
          <w:b/>
          <w:bCs/>
          <w:color w:val="1F4E79"/>
        </w:rPr>
      </w:pPr>
      <w:r w:rsidRPr="00540CDB">
        <w:rPr>
          <w:b/>
          <w:bCs/>
          <w:color w:val="1F4E79"/>
        </w:rPr>
        <w:t>5. Discussion</w:t>
      </w:r>
    </w:p>
    <w:p w:rsidR="00BC2B69" w:rsidRPr="00540CDB" w:rsidRDefault="00A748D5">
      <w:pPr>
        <w:spacing w:after="150" w:line="300" w:lineRule="auto"/>
        <w:jc w:val="both"/>
      </w:pPr>
      <w:r w:rsidRPr="00540CDB">
        <w:rPr>
          <w:rFonts w:eastAsia="Calibri"/>
        </w:rPr>
        <w:t>The BLAST results strongly support the identity and evolutionary conservation of RecA as a central DNA-repair protein across bacteria. The top hit (1XP8_A) returning 100% identity with zero gaps validates the search pipeline and confirms that the query seq</w:t>
      </w:r>
      <w:r w:rsidRPr="00540CDB">
        <w:rPr>
          <w:rFonts w:eastAsia="Calibri"/>
        </w:rPr>
        <w:t>uence was correctly retrieved. More notably, orthologous RecA proteins from taxonomically distant organisms — including Escherichia coli, Mycobacter</w:t>
      </w:r>
      <w:r w:rsidR="005C6CEC">
        <w:rPr>
          <w:rFonts w:eastAsia="Calibri"/>
        </w:rPr>
        <w:t xml:space="preserve">ium tuberculosis, Streptococcus </w:t>
      </w:r>
      <w:r w:rsidRPr="00540CDB">
        <w:rPr>
          <w:rFonts w:eastAsia="Calibri"/>
        </w:rPr>
        <w:t>pneumoniae, Pseudomonas aeruginosa, and the hyperthermophile Thermotoga mari</w:t>
      </w:r>
      <w:r w:rsidRPr="00540CDB">
        <w:rPr>
          <w:rFonts w:eastAsia="Calibri"/>
        </w:rPr>
        <w:t xml:space="preserve">tima — all returned highly significant E-values (ranging from 0.0 to as low as 7e-09 for the most distant archaeal match) and substantial sequence identity (56–65% for the bacterial orthologs). This pattern reflects strong evolutionary conservation of the </w:t>
      </w:r>
      <w:r w:rsidRPr="00540CDB">
        <w:rPr>
          <w:rFonts w:eastAsia="Calibri"/>
        </w:rPr>
        <w:t>RecA fold and its catalytic machinery, particularly the ATP-binding site and hexamer-interface regions that were consistently mapped onto nearly the full length of the query in the conserved-domain analysis.</w:t>
      </w:r>
    </w:p>
    <w:p w:rsidR="00BC2B69" w:rsidRDefault="00A748D5">
      <w:pPr>
        <w:spacing w:after="150" w:line="300" w:lineRule="auto"/>
        <w:jc w:val="both"/>
        <w:rPr>
          <w:rFonts w:eastAsia="Calibri"/>
        </w:rPr>
      </w:pPr>
      <w:r w:rsidRPr="00540CDB">
        <w:rPr>
          <w:rFonts w:eastAsia="Calibri"/>
        </w:rPr>
        <w:t>The most distant hit, DNA repair and recombination protein RadB from the archaeon Thermococcus kodakarensis, showed markedly lower identity (35.67%) and query coverage (44%), yet remained statistically significant (E = 7e-09), illustrating that the core Re</w:t>
      </w:r>
      <w:r w:rsidRPr="00540CDB">
        <w:rPr>
          <w:rFonts w:eastAsia="Calibri"/>
        </w:rPr>
        <w:t>cA/RadA/RadB recombinase fold has been conserved across the bacterial and archaeal domains of life, even as sequence identity has diverged substantially over evolutionary time.</w:t>
      </w:r>
    </w:p>
    <w:p w:rsidR="00540CDB" w:rsidRDefault="00540CDB">
      <w:pPr>
        <w:spacing w:after="150" w:line="300" w:lineRule="auto"/>
        <w:jc w:val="both"/>
        <w:rPr>
          <w:rFonts w:eastAsia="Calibri"/>
        </w:rPr>
      </w:pPr>
    </w:p>
    <w:p w:rsidR="00540CDB" w:rsidRDefault="00540CDB">
      <w:pPr>
        <w:spacing w:after="150" w:line="300" w:lineRule="auto"/>
        <w:jc w:val="both"/>
        <w:rPr>
          <w:rFonts w:eastAsia="Calibri"/>
        </w:rPr>
      </w:pPr>
    </w:p>
    <w:p w:rsidR="00540CDB" w:rsidRPr="00540CDB" w:rsidRDefault="00540CDB">
      <w:pPr>
        <w:spacing w:after="150" w:line="300" w:lineRule="auto"/>
        <w:jc w:val="both"/>
      </w:pPr>
    </w:p>
    <w:p w:rsidR="00BC2B69" w:rsidRPr="00540CDB" w:rsidRDefault="00A748D5">
      <w:pPr>
        <w:pStyle w:val="Heading1"/>
        <w:spacing w:before="300" w:after="150"/>
      </w:pPr>
      <w:r w:rsidRPr="00540CDB">
        <w:rPr>
          <w:b/>
          <w:bCs/>
          <w:color w:val="1F4E79"/>
        </w:rPr>
        <w:t>6. Conclusion</w:t>
      </w:r>
    </w:p>
    <w:p w:rsidR="00BC2B69" w:rsidRPr="00540CDB" w:rsidRDefault="00A748D5">
      <w:pPr>
        <w:spacing w:after="150" w:line="300" w:lineRule="auto"/>
        <w:jc w:val="both"/>
      </w:pPr>
      <w:r w:rsidRPr="00540CDB">
        <w:rPr>
          <w:rFonts w:eastAsia="Calibri"/>
        </w:rPr>
        <w:t>This analysis successfully retrieved the RecA protein sequence of</w:t>
      </w:r>
      <w:r w:rsidRPr="00540CDB">
        <w:rPr>
          <w:rFonts w:eastAsia="Calibri"/>
        </w:rPr>
        <w:t xml:space="preserve"> </w:t>
      </w:r>
      <w:r w:rsidRPr="005C6CEC">
        <w:rPr>
          <w:rFonts w:eastAsia="Calibri"/>
          <w:i/>
        </w:rPr>
        <w:t>Deinococcus radiodurans</w:t>
      </w:r>
      <w:r w:rsidRPr="00540CDB">
        <w:rPr>
          <w:rFonts w:eastAsia="Calibri"/>
        </w:rPr>
        <w:t xml:space="preserve"> from NCBI and used BLASTP against the PDB database to identify homologous, structurally resolved RecA proteins across a wide range of bacterial species and one archaeal representative. The results demonstrate (1) accurate sequence </w:t>
      </w:r>
      <w:r w:rsidRPr="00540CDB">
        <w:rPr>
          <w:rFonts w:eastAsia="Calibri"/>
        </w:rPr>
        <w:t>retrieval, confirmed by a perfect self-match; (2) strong conservation of RecA across bacteria, with 55–65% identity and highly significant E-values; and (3) conservation of key functional domains — the ATP-binding site and hexamer interface — that underlie</w:t>
      </w:r>
      <w:r w:rsidRPr="00540CDB">
        <w:rPr>
          <w:rFonts w:eastAsia="Calibri"/>
        </w:rPr>
        <w:t xml:space="preserve"> RecA's essential role in homologous recombination and DNA damage repair, a function of particular importance in the extreme radiation resistance of D. radiodurans.</w:t>
      </w:r>
    </w:p>
    <w:sectPr w:rsidR="00BC2B69" w:rsidRPr="00540CDB">
      <w:headerReference w:type="default" r:id="rId12"/>
      <w:footerReference w:type="default" r:id="rId13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48D5" w:rsidRDefault="00A748D5">
      <w:r>
        <w:separator/>
      </w:r>
    </w:p>
  </w:endnote>
  <w:endnote w:type="continuationSeparator" w:id="0">
    <w:p w:rsidR="00A748D5" w:rsidRDefault="00A74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B69" w:rsidRDefault="00A748D5">
    <w:pPr>
      <w:jc w:val="center"/>
    </w:pPr>
    <w:r>
      <w:rPr>
        <w:rFonts w:ascii="Calibri" w:eastAsia="Calibri" w:hAnsi="Calibri" w:cs="Calibri"/>
        <w:color w:val="888888"/>
        <w:sz w:val="16"/>
        <w:szCs w:val="16"/>
      </w:rPr>
      <w:t xml:space="preserve">Page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PAGE</w:instrText>
    </w:r>
    <w:r w:rsidR="00540CDB">
      <w:rPr>
        <w:rFonts w:ascii="Calibri" w:eastAsia="Calibri" w:hAnsi="Calibri" w:cs="Calibri"/>
        <w:color w:val="888888"/>
        <w:sz w:val="16"/>
        <w:szCs w:val="16"/>
      </w:rPr>
      <w:fldChar w:fldCharType="separate"/>
    </w:r>
    <w:r>
      <w:rPr>
        <w:rFonts w:ascii="Calibri" w:eastAsia="Calibri" w:hAnsi="Calibri" w:cs="Calibri"/>
        <w:noProof/>
        <w:color w:val="888888"/>
        <w:sz w:val="16"/>
        <w:szCs w:val="16"/>
      </w:rPr>
      <w:t>1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  <w:r>
      <w:rPr>
        <w:rFonts w:ascii="Calibri" w:eastAsia="Calibri" w:hAnsi="Calibri" w:cs="Calibri"/>
        <w:color w:val="888888"/>
        <w:sz w:val="16"/>
        <w:szCs w:val="16"/>
      </w:rPr>
      <w:t xml:space="preserve"> of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NUMPAGES</w:instrText>
    </w:r>
    <w:r w:rsidR="00540CDB">
      <w:rPr>
        <w:rFonts w:ascii="Calibri" w:eastAsia="Calibri" w:hAnsi="Calibri" w:cs="Calibri"/>
        <w:color w:val="888888"/>
        <w:sz w:val="16"/>
        <w:szCs w:val="16"/>
      </w:rPr>
      <w:fldChar w:fldCharType="separate"/>
    </w:r>
    <w:r>
      <w:rPr>
        <w:rFonts w:ascii="Calibri" w:eastAsia="Calibri" w:hAnsi="Calibri" w:cs="Calibri"/>
        <w:noProof/>
        <w:color w:val="888888"/>
        <w:sz w:val="16"/>
        <w:szCs w:val="16"/>
      </w:rPr>
      <w:t>1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48D5" w:rsidRDefault="00A748D5">
      <w:r>
        <w:separator/>
      </w:r>
    </w:p>
  </w:footnote>
  <w:footnote w:type="continuationSeparator" w:id="0">
    <w:p w:rsidR="00A748D5" w:rsidRDefault="00A748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0CDB" w:rsidRPr="004A00B4" w:rsidRDefault="00540CDB" w:rsidP="00540CDB">
    <w:pPr>
      <w:pStyle w:val="Header"/>
      <w:jc w:val="right"/>
      <w:rPr>
        <w:b/>
        <w:i/>
      </w:rPr>
    </w:pPr>
    <w:r w:rsidRPr="004A00B4">
      <w:rPr>
        <w:b/>
        <w:i/>
        <w:noProof/>
      </w:rPr>
      <w:drawing>
        <wp:anchor distT="0" distB="0" distL="114300" distR="114300" simplePos="0" relativeHeight="251658240" behindDoc="0" locked="0" layoutInCell="1" allowOverlap="1" wp14:anchorId="0C407661" wp14:editId="200A26DB">
          <wp:simplePos x="0" y="0"/>
          <wp:positionH relativeFrom="column">
            <wp:posOffset>-514350</wp:posOffset>
          </wp:positionH>
          <wp:positionV relativeFrom="paragraph">
            <wp:posOffset>-392430</wp:posOffset>
          </wp:positionV>
          <wp:extent cx="622300" cy="622300"/>
          <wp:effectExtent l="0" t="0" r="6350" b="0"/>
          <wp:wrapThrough wrapText="bothSides">
            <wp:wrapPolygon edited="0">
              <wp:start x="1322" y="5951"/>
              <wp:lineTo x="0" y="9257"/>
              <wp:lineTo x="0" y="15208"/>
              <wp:lineTo x="9918" y="16531"/>
              <wp:lineTo x="17853" y="16531"/>
              <wp:lineTo x="21159" y="12563"/>
              <wp:lineTo x="21159" y="8596"/>
              <wp:lineTo x="4629" y="5951"/>
              <wp:lineTo x="1322" y="5951"/>
            </wp:wrapPolygon>
          </wp:wrapThrough>
          <wp:docPr id="6" name="Picture 6" descr="C:\Users\admin\Downloads\Code_Alpha_Logo-removebg-previe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ownloads\Code_Alpha_Logo-removebg-preview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300" cy="622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A00B4">
      <w:rPr>
        <w:b/>
        <w:i/>
      </w:rPr>
      <w:t>Submitted by Shara Warish</w:t>
    </w:r>
  </w:p>
  <w:p w:rsidR="004A00B4" w:rsidRPr="004A00B4" w:rsidRDefault="004A00B4" w:rsidP="00540CDB">
    <w:pPr>
      <w:pStyle w:val="Header"/>
      <w:jc w:val="right"/>
      <w:rPr>
        <w:b/>
        <w:i/>
      </w:rPr>
    </w:pPr>
    <w:r w:rsidRPr="004A00B4">
      <w:rPr>
        <w:b/>
        <w:i/>
      </w:rPr>
      <w:t>CA/DF1/114975</w:t>
    </w:r>
  </w:p>
  <w:p w:rsidR="00BC2B69" w:rsidRDefault="00BC2B69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6B553C"/>
    <w:multiLevelType w:val="hybridMultilevel"/>
    <w:tmpl w:val="34C4C4F0"/>
    <w:lvl w:ilvl="0" w:tplc="C8944984">
      <w:start w:val="1"/>
      <w:numFmt w:val="bullet"/>
      <w:lvlText w:val="●"/>
      <w:lvlJc w:val="left"/>
      <w:pPr>
        <w:ind w:left="720" w:hanging="360"/>
      </w:pPr>
    </w:lvl>
    <w:lvl w:ilvl="1" w:tplc="C3A4EA00">
      <w:start w:val="1"/>
      <w:numFmt w:val="bullet"/>
      <w:lvlText w:val="○"/>
      <w:lvlJc w:val="left"/>
      <w:pPr>
        <w:ind w:left="1440" w:hanging="360"/>
      </w:pPr>
    </w:lvl>
    <w:lvl w:ilvl="2" w:tplc="CAA23CF6">
      <w:start w:val="1"/>
      <w:numFmt w:val="bullet"/>
      <w:lvlText w:val="■"/>
      <w:lvlJc w:val="left"/>
      <w:pPr>
        <w:ind w:left="2160" w:hanging="360"/>
      </w:pPr>
    </w:lvl>
    <w:lvl w:ilvl="3" w:tplc="3DD8EAB0">
      <w:start w:val="1"/>
      <w:numFmt w:val="bullet"/>
      <w:lvlText w:val="●"/>
      <w:lvlJc w:val="left"/>
      <w:pPr>
        <w:ind w:left="2880" w:hanging="360"/>
      </w:pPr>
    </w:lvl>
    <w:lvl w:ilvl="4" w:tplc="F40C2694">
      <w:start w:val="1"/>
      <w:numFmt w:val="bullet"/>
      <w:lvlText w:val="○"/>
      <w:lvlJc w:val="left"/>
      <w:pPr>
        <w:ind w:left="3600" w:hanging="360"/>
      </w:pPr>
    </w:lvl>
    <w:lvl w:ilvl="5" w:tplc="831AE75C">
      <w:start w:val="1"/>
      <w:numFmt w:val="bullet"/>
      <w:lvlText w:val="■"/>
      <w:lvlJc w:val="left"/>
      <w:pPr>
        <w:ind w:left="4320" w:hanging="360"/>
      </w:pPr>
    </w:lvl>
    <w:lvl w:ilvl="6" w:tplc="5F8CF73C">
      <w:start w:val="1"/>
      <w:numFmt w:val="bullet"/>
      <w:lvlText w:val="●"/>
      <w:lvlJc w:val="left"/>
      <w:pPr>
        <w:ind w:left="5040" w:hanging="360"/>
      </w:pPr>
    </w:lvl>
    <w:lvl w:ilvl="7" w:tplc="4858A578">
      <w:start w:val="1"/>
      <w:numFmt w:val="bullet"/>
      <w:lvlText w:val="●"/>
      <w:lvlJc w:val="left"/>
      <w:pPr>
        <w:ind w:left="5760" w:hanging="360"/>
      </w:pPr>
    </w:lvl>
    <w:lvl w:ilvl="8" w:tplc="729057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B69"/>
    <w:rsid w:val="003905EE"/>
    <w:rsid w:val="004A00B4"/>
    <w:rsid w:val="00540CDB"/>
    <w:rsid w:val="005C6CEC"/>
    <w:rsid w:val="00A748D5"/>
    <w:rsid w:val="00BC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4CA866"/>
  <w15:docId w15:val="{A7A9BB15-1C78-4BAC-890D-88C3C9E50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40C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0CDB"/>
  </w:style>
  <w:style w:type="paragraph" w:styleId="Footer">
    <w:name w:val="footer"/>
    <w:basedOn w:val="Normal"/>
    <w:link w:val="FooterChar"/>
    <w:uiPriority w:val="99"/>
    <w:unhideWhenUsed/>
    <w:rsid w:val="00540C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0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1063</Words>
  <Characters>6062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2026-07-08T15:49:00Z</dcterms:created>
  <dcterms:modified xsi:type="dcterms:W3CDTF">2026-07-08T15:49:00Z</dcterms:modified>
</cp:coreProperties>
</file>