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C0C" w:rsidRPr="000C13E8" w:rsidRDefault="008F7C0C" w:rsidP="008F7C0C">
      <w:pPr>
        <w:pageBreakBefore/>
        <w:spacing w:after="60"/>
        <w:jc w:val="center"/>
        <w:rPr>
          <w:u w:val="single"/>
        </w:rPr>
      </w:pPr>
      <w:bookmarkStart w:id="0" w:name="_GoBack"/>
      <w:r w:rsidRPr="000C13E8">
        <w:rPr>
          <w:b/>
          <w:bCs/>
          <w:sz w:val="28"/>
          <w:szCs w:val="28"/>
          <w:u w:val="single"/>
        </w:rPr>
        <w:t>TASK 3: Protein Structure Prediction</w:t>
      </w:r>
    </w:p>
    <w:bookmarkEnd w:id="0"/>
    <w:p w:rsidR="008F7C0C" w:rsidRPr="000C13E8" w:rsidRDefault="008F7C0C" w:rsidP="008F7C0C">
      <w:pPr>
        <w:pBdr>
          <w:bottom w:val="single" w:sz="6" w:space="0" w:color="999999"/>
        </w:pBdr>
        <w:spacing w:after="200"/>
        <w:jc w:val="center"/>
        <w:rPr>
          <w:u w:val="single"/>
        </w:rPr>
      </w:pPr>
    </w:p>
    <w:p w:rsidR="008F7C0C" w:rsidRDefault="008F7C0C" w:rsidP="008F7C0C">
      <w:pPr>
        <w:pStyle w:val="Heading1"/>
        <w:spacing w:before="300" w:after="150"/>
      </w:pPr>
      <w:r>
        <w:rPr>
          <w:b/>
          <w:bCs/>
        </w:rPr>
        <w:t>1. Objective</w:t>
      </w:r>
    </w:p>
    <w:p w:rsidR="008F7C0C" w:rsidRDefault="008F7C0C" w:rsidP="008F7C0C">
      <w:pPr>
        <w:spacing w:after="150"/>
      </w:pPr>
      <w:r>
        <w:t xml:space="preserve">To select one protein sequence from </w:t>
      </w:r>
      <w:proofErr w:type="spellStart"/>
      <w:r>
        <w:t>UniProt</w:t>
      </w:r>
      <w:proofErr w:type="spellEnd"/>
      <w:r>
        <w:t xml:space="preserve">, predict its 3D structure using </w:t>
      </w:r>
      <w:proofErr w:type="spellStart"/>
      <w:r>
        <w:t>AlphaFold</w:t>
      </w:r>
      <w:proofErr w:type="spellEnd"/>
      <w:r>
        <w:t xml:space="preserve"> DB, and </w:t>
      </w:r>
      <w:proofErr w:type="spellStart"/>
      <w:r>
        <w:t>visualise</w:t>
      </w:r>
      <w:proofErr w:type="spellEnd"/>
      <w:r>
        <w:t xml:space="preserve"> the structure using </w:t>
      </w:r>
      <w:proofErr w:type="spellStart"/>
      <w:r>
        <w:t>PyMOL</w:t>
      </w:r>
      <w:proofErr w:type="spellEnd"/>
      <w:r>
        <w:t>, including an analysis of backbone dihedral (phi/psi) angles.</w:t>
      </w:r>
    </w:p>
    <w:p w:rsidR="008F7C0C" w:rsidRDefault="008F7C0C" w:rsidP="008F7C0C">
      <w:pPr>
        <w:pStyle w:val="Heading1"/>
        <w:spacing w:before="300" w:after="150"/>
      </w:pPr>
      <w:r>
        <w:rPr>
          <w:b/>
          <w:bCs/>
        </w:rPr>
        <w:t>2. Protein Selected</w:t>
      </w:r>
    </w:p>
    <w:p w:rsidR="008F7C0C" w:rsidRDefault="008F7C0C" w:rsidP="008F7C0C">
      <w:pPr>
        <w:spacing w:after="150"/>
      </w:pPr>
      <w:r>
        <w:t xml:space="preserve">Protein: Hemoglobin subunit beta (HBB). </w:t>
      </w:r>
      <w:proofErr w:type="spellStart"/>
      <w:r>
        <w:t>UniProt</w:t>
      </w:r>
      <w:proofErr w:type="spellEnd"/>
      <w:r>
        <w:t xml:space="preserve"> accession P68871, entry name HBB_HUMAN, organism Homo sapiens (Human), 147 amino acids, reviewed (Swiss-</w:t>
      </w:r>
      <w:proofErr w:type="spellStart"/>
      <w:r>
        <w:t>Prot</w:t>
      </w:r>
      <w:proofErr w:type="spellEnd"/>
      <w:r>
        <w:t xml:space="preserve">) entry with </w:t>
      </w:r>
      <w:proofErr w:type="spellStart"/>
      <w:r>
        <w:t>UniProtKB</w:t>
      </w:r>
      <w:proofErr w:type="spellEnd"/>
      <w:r>
        <w:t xml:space="preserve"> annotation score of 5/5. This protein was selected for continuity with the Task 2 alignment, since HBB_HUMAN was one of the five sequences used in the MSA, and because it is a well-</w:t>
      </w:r>
      <w:proofErr w:type="spellStart"/>
      <w:r>
        <w:t>characterised</w:t>
      </w:r>
      <w:proofErr w:type="spellEnd"/>
      <w:r>
        <w:t xml:space="preserve">, high-confidence target with an existing very-high-quality </w:t>
      </w:r>
      <w:proofErr w:type="spellStart"/>
      <w:r>
        <w:t>AlphaFold</w:t>
      </w:r>
      <w:proofErr w:type="spellEnd"/>
      <w:r>
        <w:t xml:space="preserve"> model, making it ideal for demonstrating structure prediction and </w:t>
      </w:r>
      <w:proofErr w:type="spellStart"/>
      <w:r>
        <w:t>visualisation</w:t>
      </w:r>
      <w:proofErr w:type="spellEnd"/>
      <w:r>
        <w:t xml:space="preserve">. Its biological function is oxygen transport from the lungs to peripheral tissues as part of the </w:t>
      </w:r>
      <w:proofErr w:type="spellStart"/>
      <w:r>
        <w:t>haemoglobin</w:t>
      </w:r>
      <w:proofErr w:type="spellEnd"/>
      <w:r>
        <w:t xml:space="preserve"> tetramer.</w:t>
      </w:r>
    </w:p>
    <w:p w:rsidR="008F7C0C" w:rsidRDefault="008F7C0C" w:rsidP="008F7C0C">
      <w:pPr>
        <w:pStyle w:val="Heading1"/>
        <w:spacing w:before="300" w:after="150"/>
      </w:pPr>
      <w:r>
        <w:rPr>
          <w:b/>
          <w:bCs/>
        </w:rPr>
        <w:t>3. Method</w:t>
      </w:r>
    </w:p>
    <w:p w:rsidR="008F7C0C" w:rsidRDefault="008F7C0C" w:rsidP="008F7C0C">
      <w:pPr>
        <w:pStyle w:val="ListParagraph"/>
        <w:numPr>
          <w:ilvl w:val="0"/>
          <w:numId w:val="1"/>
        </w:numPr>
        <w:spacing w:after="80"/>
      </w:pPr>
      <w:r>
        <w:t xml:space="preserve">The target sequence and accession (P68871, HBB_HUMAN) were retrieved from </w:t>
      </w:r>
      <w:proofErr w:type="spellStart"/>
      <w:r>
        <w:t>UniProtKB</w:t>
      </w:r>
      <w:proofErr w:type="spellEnd"/>
      <w:r>
        <w:t xml:space="preserve"> (https://www.uniprot.org/uniprotkb/P68871/entry).</w:t>
      </w:r>
    </w:p>
    <w:p w:rsidR="008F7C0C" w:rsidRDefault="008F7C0C" w:rsidP="008F7C0C">
      <w:pPr>
        <w:pStyle w:val="ListParagraph"/>
        <w:numPr>
          <w:ilvl w:val="0"/>
          <w:numId w:val="1"/>
        </w:numPr>
        <w:spacing w:after="80"/>
      </w:pPr>
      <w:r>
        <w:t xml:space="preserve">Rather than submitting a new modelling job, the existing predicted structure was looked up directly on </w:t>
      </w:r>
      <w:proofErr w:type="spellStart"/>
      <w:r>
        <w:t>AlphaFold</w:t>
      </w:r>
      <w:proofErr w:type="spellEnd"/>
      <w:r>
        <w:t xml:space="preserve"> DB (https://alphafold.ebi.ac.uk/entry/P68871), which hosts a pre-computed </w:t>
      </w:r>
      <w:proofErr w:type="spellStart"/>
      <w:r>
        <w:t>AlphaFold</w:t>
      </w:r>
      <w:proofErr w:type="spellEnd"/>
      <w:r>
        <w:t xml:space="preserve"> Monomer v2.0 model for this </w:t>
      </w:r>
      <w:proofErr w:type="spellStart"/>
      <w:r>
        <w:t>UniProt</w:t>
      </w:r>
      <w:proofErr w:type="spellEnd"/>
      <w:r>
        <w:t xml:space="preserve"> entry (model AF-P68871-F1-v6).</w:t>
      </w:r>
    </w:p>
    <w:p w:rsidR="008F7C0C" w:rsidRDefault="008F7C0C" w:rsidP="008F7C0C">
      <w:pPr>
        <w:pStyle w:val="ListParagraph"/>
        <w:numPr>
          <w:ilvl w:val="0"/>
          <w:numId w:val="1"/>
        </w:numPr>
        <w:spacing w:after="80"/>
      </w:pPr>
      <w:r>
        <w:t xml:space="preserve">The predicted structure file (AF-P68871-F1-model_v6.pdb) was downloaded from the </w:t>
      </w:r>
      <w:proofErr w:type="spellStart"/>
      <w:r>
        <w:t>AlphaFold</w:t>
      </w:r>
      <w:proofErr w:type="spellEnd"/>
      <w:r>
        <w:t xml:space="preserve"> DB entry page via the "Download files" option.</w:t>
      </w:r>
    </w:p>
    <w:p w:rsidR="008F7C0C" w:rsidRDefault="008F7C0C" w:rsidP="008F7C0C">
      <w:pPr>
        <w:pStyle w:val="ListParagraph"/>
        <w:numPr>
          <w:ilvl w:val="0"/>
          <w:numId w:val="1"/>
        </w:numPr>
        <w:spacing w:after="80"/>
      </w:pPr>
      <w:r>
        <w:t xml:space="preserve">The PDB file was opened in </w:t>
      </w:r>
      <w:proofErr w:type="spellStart"/>
      <w:r>
        <w:t>PyMOL</w:t>
      </w:r>
      <w:proofErr w:type="spellEnd"/>
      <w:r>
        <w:t xml:space="preserve"> and rendered as a cartoon/ribbon view </w:t>
      </w:r>
      <w:proofErr w:type="spellStart"/>
      <w:r>
        <w:t>coloured</w:t>
      </w:r>
      <w:proofErr w:type="spellEnd"/>
      <w:r>
        <w:t xml:space="preserve"> green to highlight secondary structure.</w:t>
      </w:r>
    </w:p>
    <w:p w:rsidR="008F7C0C" w:rsidRDefault="008F7C0C" w:rsidP="008F7C0C">
      <w:pPr>
        <w:pStyle w:val="ListParagraph"/>
        <w:numPr>
          <w:ilvl w:val="0"/>
          <w:numId w:val="1"/>
        </w:numPr>
        <w:spacing w:after="80"/>
      </w:pPr>
      <w:r>
        <w:t xml:space="preserve">A backbone dihedral (phi/psi) angle plot was generated using a </w:t>
      </w:r>
      <w:proofErr w:type="spellStart"/>
      <w:r>
        <w:t>PyMOL</w:t>
      </w:r>
      <w:proofErr w:type="spellEnd"/>
      <w:r>
        <w:t xml:space="preserve"> "Dynamic Angle Plotting" tool to assess the distribution of torsion angles as a structural quality check, analogous to a Ramachandran plot.</w:t>
      </w:r>
    </w:p>
    <w:p w:rsidR="008F7C0C" w:rsidRDefault="008F7C0C" w:rsidP="008F7C0C">
      <w:pPr>
        <w:spacing w:after="150"/>
      </w:pPr>
      <w:r>
        <w:t xml:space="preserve">Model confidence and background information (average </w:t>
      </w:r>
      <w:proofErr w:type="spellStart"/>
      <w:r>
        <w:t>pLDDT</w:t>
      </w:r>
      <w:proofErr w:type="spellEnd"/>
      <w:r>
        <w:t xml:space="preserve">, </w:t>
      </w:r>
      <w:proofErr w:type="spellStart"/>
      <w:r>
        <w:t>pLDDT</w:t>
      </w:r>
      <w:proofErr w:type="spellEnd"/>
      <w:r>
        <w:t xml:space="preserve"> distribution, source organism) were confirmed from the </w:t>
      </w:r>
      <w:proofErr w:type="spellStart"/>
      <w:r>
        <w:t>AlphaFold</w:t>
      </w:r>
      <w:proofErr w:type="spellEnd"/>
      <w:r>
        <w:t xml:space="preserve"> DB summary page, and the </w:t>
      </w:r>
      <w:proofErr w:type="spellStart"/>
      <w:r>
        <w:t>AlphaFold</w:t>
      </w:r>
      <w:proofErr w:type="spellEnd"/>
      <w:r>
        <w:t xml:space="preserve"> header metadata was checked in the </w:t>
      </w:r>
      <w:proofErr w:type="spellStart"/>
      <w:r>
        <w:t>PyMOL</w:t>
      </w:r>
      <w:proofErr w:type="spellEnd"/>
      <w:r>
        <w:t xml:space="preserve"> command log.</w:t>
      </w:r>
    </w:p>
    <w:p w:rsidR="008F7C0C" w:rsidRDefault="008F7C0C" w:rsidP="008F7C0C">
      <w:pPr>
        <w:pStyle w:val="Heading1"/>
        <w:spacing w:before="300" w:after="150"/>
      </w:pPr>
      <w:r>
        <w:rPr>
          <w:b/>
          <w:bCs/>
        </w:rPr>
        <w:t>4. Structure Images</w:t>
      </w:r>
    </w:p>
    <w:p w:rsidR="008F7C0C" w:rsidRDefault="008F7C0C" w:rsidP="008F7C0C">
      <w:pPr>
        <w:spacing w:after="150"/>
      </w:pPr>
      <w:r>
        <w:t xml:space="preserve">The figures below show the </w:t>
      </w:r>
      <w:proofErr w:type="spellStart"/>
      <w:r>
        <w:t>AlphaFold</w:t>
      </w:r>
      <w:proofErr w:type="spellEnd"/>
      <w:r>
        <w:t xml:space="preserve"> DB entry, the model loaded and rendered in </w:t>
      </w:r>
      <w:proofErr w:type="spellStart"/>
      <w:r>
        <w:t>PyMOL</w:t>
      </w:r>
      <w:proofErr w:type="spellEnd"/>
      <w:r>
        <w:t xml:space="preserve">, the </w:t>
      </w:r>
      <w:proofErr w:type="spellStart"/>
      <w:r>
        <w:t>UniProt</w:t>
      </w:r>
      <w:proofErr w:type="spellEnd"/>
      <w:r>
        <w:t xml:space="preserve"> entry for HBB_HUMAN, and the backbone dihedral angle plot.</w:t>
      </w:r>
    </w:p>
    <w:p w:rsidR="008F7C0C" w:rsidRDefault="008F7C0C" w:rsidP="008F7C0C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0F35C5FA" wp14:editId="1CF8B874">
            <wp:extent cx="5943600" cy="2481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Figure 3: </w:t>
      </w:r>
      <w:proofErr w:type="spellStart"/>
      <w:r>
        <w:rPr>
          <w:i/>
          <w:iCs/>
          <w:color w:val="444444"/>
          <w:sz w:val="18"/>
          <w:szCs w:val="18"/>
        </w:rPr>
        <w:t>AlphaFold</w:t>
      </w:r>
      <w:proofErr w:type="spellEnd"/>
      <w:r>
        <w:rPr>
          <w:i/>
          <w:iCs/>
          <w:color w:val="444444"/>
          <w:sz w:val="18"/>
          <w:szCs w:val="18"/>
        </w:rPr>
        <w:t xml:space="preserve"> DB entry for Hemoglobin subunit beta (P68871), showing model AF-P68871-F1-v6 and an average </w:t>
      </w:r>
      <w:proofErr w:type="spellStart"/>
      <w:r>
        <w:rPr>
          <w:i/>
          <w:iCs/>
          <w:color w:val="444444"/>
          <w:sz w:val="18"/>
          <w:szCs w:val="18"/>
        </w:rPr>
        <w:t>pLDDT</w:t>
      </w:r>
      <w:proofErr w:type="spellEnd"/>
      <w:r>
        <w:rPr>
          <w:i/>
          <w:iCs/>
          <w:color w:val="444444"/>
          <w:sz w:val="18"/>
          <w:szCs w:val="18"/>
        </w:rPr>
        <w:t xml:space="preserve"> of 97.19 ("Very high").</w:t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</w:pPr>
    </w:p>
    <w:p w:rsidR="008F7C0C" w:rsidRDefault="008F7C0C" w:rsidP="008F7C0C">
      <w:pPr>
        <w:spacing w:before="100" w:after="80"/>
        <w:jc w:val="center"/>
      </w:pPr>
      <w:r>
        <w:rPr>
          <w:noProof/>
        </w:rPr>
        <w:drawing>
          <wp:inline distT="0" distB="0" distL="0" distR="0" wp14:anchorId="0CC8E933" wp14:editId="12A6FFB4">
            <wp:extent cx="5943600" cy="3138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0C" w:rsidRDefault="008F7C0C" w:rsidP="008F7C0C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4: The AF-P68871-F1 model loaded in </w:t>
      </w:r>
      <w:proofErr w:type="spellStart"/>
      <w:r>
        <w:rPr>
          <w:i/>
          <w:iCs/>
          <w:color w:val="444444"/>
          <w:sz w:val="18"/>
          <w:szCs w:val="18"/>
        </w:rPr>
        <w:t>PyMOL</w:t>
      </w:r>
      <w:proofErr w:type="spellEnd"/>
      <w:r>
        <w:rPr>
          <w:i/>
          <w:iCs/>
          <w:color w:val="444444"/>
          <w:sz w:val="18"/>
          <w:szCs w:val="18"/>
        </w:rPr>
        <w:t xml:space="preserve"> and displayed as a cartoon/ribbon view.</w:t>
      </w:r>
    </w:p>
    <w:p w:rsidR="008F7C0C" w:rsidRDefault="008F7C0C" w:rsidP="008F7C0C">
      <w:pPr>
        <w:spacing w:before="100" w:after="80"/>
        <w:jc w:val="center"/>
      </w:pPr>
      <w:r>
        <w:rPr>
          <w:noProof/>
        </w:rPr>
        <w:drawing>
          <wp:inline distT="0" distB="0" distL="0" distR="0" wp14:anchorId="2BAC5C62" wp14:editId="0E60D3BA">
            <wp:extent cx="5943600" cy="3060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Figure 5: </w:t>
      </w:r>
      <w:proofErr w:type="spellStart"/>
      <w:r>
        <w:rPr>
          <w:i/>
          <w:iCs/>
          <w:color w:val="444444"/>
          <w:sz w:val="18"/>
          <w:szCs w:val="18"/>
        </w:rPr>
        <w:t>PyMOL</w:t>
      </w:r>
      <w:proofErr w:type="spellEnd"/>
      <w:r>
        <w:rPr>
          <w:i/>
          <w:iCs/>
          <w:color w:val="444444"/>
          <w:sz w:val="18"/>
          <w:szCs w:val="18"/>
        </w:rPr>
        <w:t xml:space="preserve"> command log confirming the loaded file is the </w:t>
      </w:r>
      <w:proofErr w:type="spellStart"/>
      <w:r>
        <w:rPr>
          <w:i/>
          <w:iCs/>
          <w:color w:val="444444"/>
          <w:sz w:val="18"/>
          <w:szCs w:val="18"/>
        </w:rPr>
        <w:t>AlphaFold</w:t>
      </w:r>
      <w:proofErr w:type="spellEnd"/>
      <w:r>
        <w:rPr>
          <w:i/>
          <w:iCs/>
          <w:color w:val="444444"/>
          <w:sz w:val="18"/>
          <w:szCs w:val="18"/>
        </w:rPr>
        <w:t xml:space="preserve"> Monomer v2.0 prediction for Hemoglobin subunit beta (P68871), chain A.</w:t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</w:pPr>
    </w:p>
    <w:p w:rsidR="008F7C0C" w:rsidRDefault="008F7C0C" w:rsidP="008F7C0C">
      <w:pPr>
        <w:spacing w:before="100" w:after="80"/>
        <w:jc w:val="center"/>
      </w:pPr>
      <w:r>
        <w:rPr>
          <w:noProof/>
        </w:rPr>
        <w:drawing>
          <wp:inline distT="0" distB="0" distL="0" distR="0" wp14:anchorId="33A73BEC" wp14:editId="31B28CCD">
            <wp:extent cx="5943600" cy="30052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0C" w:rsidRDefault="008F7C0C" w:rsidP="008F7C0C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6: </w:t>
      </w:r>
      <w:proofErr w:type="spellStart"/>
      <w:r>
        <w:rPr>
          <w:i/>
          <w:iCs/>
          <w:color w:val="444444"/>
          <w:sz w:val="18"/>
          <w:szCs w:val="18"/>
        </w:rPr>
        <w:t>UniProt</w:t>
      </w:r>
      <w:proofErr w:type="spellEnd"/>
      <w:r>
        <w:rPr>
          <w:i/>
          <w:iCs/>
          <w:color w:val="444444"/>
          <w:sz w:val="18"/>
          <w:szCs w:val="18"/>
        </w:rPr>
        <w:t xml:space="preserve"> entry for P68871 (HBB_HUMAN) showing gene HBB, 147 amino acids, and functional annotation (oxygen transport, 2,3-BPG binding sites).</w:t>
      </w:r>
    </w:p>
    <w:p w:rsidR="008F7C0C" w:rsidRDefault="008F7C0C" w:rsidP="008F7C0C">
      <w:pPr>
        <w:spacing w:before="100" w:after="80"/>
        <w:jc w:val="center"/>
      </w:pPr>
      <w:r>
        <w:rPr>
          <w:noProof/>
        </w:rPr>
        <w:drawing>
          <wp:inline distT="0" distB="0" distL="0" distR="0" wp14:anchorId="29D05390" wp14:editId="382292E8">
            <wp:extent cx="5943600" cy="3116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>Figure 7: Backbone dihedral (phi/psi) angle plot for the modelled residues. The large cluster of points near (phi ≈ -60°, psi ≈ -45°) corresponds to the right-handed alpha-helical region of the Ramachandran plot, consistent with the predominantly helical globin fold; a small number of outlying points correspond to loop and turn residues.</w:t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</w:pPr>
    </w:p>
    <w:p w:rsidR="008F7C0C" w:rsidRDefault="008F7C0C" w:rsidP="008F7C0C">
      <w:pPr>
        <w:spacing w:before="100" w:after="80"/>
        <w:jc w:val="center"/>
      </w:pPr>
      <w:r>
        <w:rPr>
          <w:noProof/>
        </w:rPr>
        <w:drawing>
          <wp:inline distT="0" distB="0" distL="0" distR="0" wp14:anchorId="216A8EB9" wp14:editId="0FF20AC7">
            <wp:extent cx="5943600" cy="25433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Figure 8: Reference quaternary structure of human </w:t>
      </w:r>
      <w:proofErr w:type="spellStart"/>
      <w:r>
        <w:rPr>
          <w:i/>
          <w:iCs/>
          <w:color w:val="444444"/>
          <w:sz w:val="18"/>
          <w:szCs w:val="18"/>
        </w:rPr>
        <w:t>haemoglobin</w:t>
      </w:r>
      <w:proofErr w:type="spellEnd"/>
      <w:r>
        <w:rPr>
          <w:i/>
          <w:iCs/>
          <w:color w:val="444444"/>
          <w:sz w:val="18"/>
          <w:szCs w:val="18"/>
        </w:rPr>
        <w:t xml:space="preserve"> (experimentally determined, related PDB structure) shown on the </w:t>
      </w:r>
      <w:proofErr w:type="spellStart"/>
      <w:r>
        <w:rPr>
          <w:i/>
          <w:iCs/>
          <w:color w:val="444444"/>
          <w:sz w:val="18"/>
          <w:szCs w:val="18"/>
        </w:rPr>
        <w:t>UniProt</w:t>
      </w:r>
      <w:proofErr w:type="spellEnd"/>
      <w:r>
        <w:rPr>
          <w:i/>
          <w:iCs/>
          <w:color w:val="444444"/>
          <w:sz w:val="18"/>
          <w:szCs w:val="18"/>
        </w:rPr>
        <w:t xml:space="preserve"> "Structure" tab, with each of the four globin chains </w:t>
      </w:r>
      <w:proofErr w:type="spellStart"/>
      <w:r>
        <w:rPr>
          <w:i/>
          <w:iCs/>
          <w:color w:val="444444"/>
          <w:sz w:val="18"/>
          <w:szCs w:val="18"/>
        </w:rPr>
        <w:t>coloured</w:t>
      </w:r>
      <w:proofErr w:type="spellEnd"/>
      <w:r>
        <w:rPr>
          <w:i/>
          <w:iCs/>
          <w:color w:val="444444"/>
          <w:sz w:val="18"/>
          <w:szCs w:val="18"/>
        </w:rPr>
        <w:t xml:space="preserve"> separately, for comparison with the single </w:t>
      </w:r>
      <w:proofErr w:type="spellStart"/>
      <w:r>
        <w:rPr>
          <w:i/>
          <w:iCs/>
          <w:color w:val="444444"/>
          <w:sz w:val="18"/>
          <w:szCs w:val="18"/>
        </w:rPr>
        <w:t>AlphaFold</w:t>
      </w:r>
      <w:proofErr w:type="spellEnd"/>
      <w:r>
        <w:rPr>
          <w:i/>
          <w:iCs/>
          <w:color w:val="444444"/>
          <w:sz w:val="18"/>
          <w:szCs w:val="18"/>
        </w:rPr>
        <w:t>-predicted beta subunit above.</w:t>
      </w: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:rsidR="008F7C0C" w:rsidRDefault="008F7C0C" w:rsidP="008F7C0C">
      <w:pPr>
        <w:spacing w:after="200"/>
        <w:jc w:val="center"/>
      </w:pPr>
    </w:p>
    <w:p w:rsidR="008F7C0C" w:rsidRDefault="008F7C0C" w:rsidP="008F7C0C">
      <w:pPr>
        <w:pStyle w:val="Heading1"/>
        <w:spacing w:before="300" w:after="150"/>
      </w:pPr>
      <w:r>
        <w:rPr>
          <w:b/>
          <w:bCs/>
        </w:rPr>
        <w:t>5. Structural Features — Short Report</w:t>
      </w:r>
    </w:p>
    <w:p w:rsidR="008F7C0C" w:rsidRDefault="008F7C0C" w:rsidP="008F7C0C">
      <w:pPr>
        <w:spacing w:after="150"/>
      </w:pPr>
      <w:r>
        <w:t xml:space="preserve">The predicted structure of Hemoglobin subunit beta (P68871) is almost entirely alpha-helical, with no beta-sheet content, consistent with the classical "globin fold": a compact bundle of connected helices (conventionally labelled A–H in </w:t>
      </w:r>
      <w:proofErr w:type="spellStart"/>
      <w:r>
        <w:t>globins</w:t>
      </w:r>
      <w:proofErr w:type="spellEnd"/>
      <w:r>
        <w:t xml:space="preserve">) linked by short loops, wrapping around a central cavity that in the full, ligand-bound protein accommodates the </w:t>
      </w:r>
      <w:proofErr w:type="spellStart"/>
      <w:r>
        <w:t>heme</w:t>
      </w:r>
      <w:proofErr w:type="spellEnd"/>
      <w:r>
        <w:t xml:space="preserve"> prosthetic group. Because </w:t>
      </w:r>
      <w:proofErr w:type="spellStart"/>
      <w:r>
        <w:t>AlphaFold</w:t>
      </w:r>
      <w:proofErr w:type="spellEnd"/>
      <w:r>
        <w:t xml:space="preserve"> predicts only the protein backbone from sequence and does not model bound cofactors, the </w:t>
      </w:r>
      <w:proofErr w:type="spellStart"/>
      <w:r>
        <w:t>heme</w:t>
      </w:r>
      <w:proofErr w:type="spellEnd"/>
      <w:r>
        <w:t xml:space="preserve"> group itself is not present in this structure file, but the shape of the predicted helical bundle is consistent with the known </w:t>
      </w:r>
      <w:proofErr w:type="spellStart"/>
      <w:r>
        <w:t>heme</w:t>
      </w:r>
      <w:proofErr w:type="spellEnd"/>
      <w:r>
        <w:t xml:space="preserve">-binding pocket seen in experimental </w:t>
      </w:r>
      <w:proofErr w:type="spellStart"/>
      <w:r>
        <w:t>haemoglobin</w:t>
      </w:r>
      <w:proofErr w:type="spellEnd"/>
      <w:r>
        <w:t xml:space="preserve"> structures. The backbone dihedral angle plot supports this assignment: the great majority of phi/psi points fall in the tight cluster around phi ≈ -60°, psi ≈ -45°, the classic right-handed alpha-helix region of the Ramachandran space, with only a handful of points scattered elsewhere corresponding to the short connecting loops and turns between helices; no points fall in the beta-sheet region (phi ≈ -120°, psi ≈ +120°), confirming the absence of beta-strand structure. Model confidence is very high: </w:t>
      </w:r>
      <w:proofErr w:type="gramStart"/>
      <w:r>
        <w:t>the</w:t>
      </w:r>
      <w:proofErr w:type="gramEnd"/>
      <w:r>
        <w:t xml:space="preserve"> </w:t>
      </w:r>
      <w:proofErr w:type="spellStart"/>
      <w:r>
        <w:t>AlphaFold</w:t>
      </w:r>
      <w:proofErr w:type="spellEnd"/>
      <w:r>
        <w:t xml:space="preserve"> DB entry reports an average </w:t>
      </w:r>
      <w:proofErr w:type="spellStart"/>
      <w:r>
        <w:t>pLDDT</w:t>
      </w:r>
      <w:proofErr w:type="spellEnd"/>
      <w:r>
        <w:t xml:space="preserve"> of 97.19, with 97.3% of residues scored "Very high" confidence, 2% "High", and only 0.7% "Low" and 0% "Very low" — indicating that essentially the entire predicted backbone, including the core helical bundle, can be trusted at near-experimental accuracy. In the full </w:t>
      </w:r>
      <w:proofErr w:type="spellStart"/>
      <w:r>
        <w:t>haemoglobin</w:t>
      </w:r>
      <w:proofErr w:type="spellEnd"/>
      <w:r>
        <w:t xml:space="preserve"> tetramer (of which this beta subunit is one of four chains), two conserved histidine residues within this helical fold — the proximal and distal </w:t>
      </w:r>
      <w:proofErr w:type="spellStart"/>
      <w:r>
        <w:t>histidines</w:t>
      </w:r>
      <w:proofErr w:type="spellEnd"/>
      <w:r>
        <w:t xml:space="preserve"> identified in the Task 2 alignment — are responsible for coordinating and </w:t>
      </w:r>
      <w:proofErr w:type="spellStart"/>
      <w:r>
        <w:t>stabilising</w:t>
      </w:r>
      <w:proofErr w:type="spellEnd"/>
      <w:r>
        <w:t xml:space="preserve"> the </w:t>
      </w:r>
      <w:proofErr w:type="spellStart"/>
      <w:r>
        <w:t>heme</w:t>
      </w:r>
      <w:proofErr w:type="spellEnd"/>
      <w:r>
        <w:t>-bound oxygen molecule.</w:t>
      </w:r>
    </w:p>
    <w:p w:rsidR="008F7C0C" w:rsidRDefault="008F7C0C" w:rsidP="008F7C0C">
      <w:pPr>
        <w:pStyle w:val="Heading1"/>
        <w:spacing w:before="300" w:after="150"/>
      </w:pPr>
      <w:r>
        <w:rPr>
          <w:b/>
          <w:bCs/>
        </w:rPr>
        <w:t>6. Conclusion</w:t>
      </w:r>
    </w:p>
    <w:p w:rsidR="008F7C0C" w:rsidRDefault="008F7C0C" w:rsidP="008F7C0C">
      <w:pPr>
        <w:spacing w:after="150"/>
      </w:pPr>
      <w:r>
        <w:t xml:space="preserve">Using the </w:t>
      </w:r>
      <w:proofErr w:type="spellStart"/>
      <w:r>
        <w:t>AlphaFold</w:t>
      </w:r>
      <w:proofErr w:type="spellEnd"/>
      <w:r>
        <w:t xml:space="preserve"> DB prediction for human Hemoglobin subunit beta (P68871, HBB_HUMAN), this task produced a high-confidence 3D structural model (average </w:t>
      </w:r>
      <w:proofErr w:type="spellStart"/>
      <w:r>
        <w:t>pLDDT</w:t>
      </w:r>
      <w:proofErr w:type="spellEnd"/>
      <w:r>
        <w:t xml:space="preserve"> 97.19) that was </w:t>
      </w:r>
      <w:proofErr w:type="spellStart"/>
      <w:r>
        <w:t>visualised</w:t>
      </w:r>
      <w:proofErr w:type="spellEnd"/>
      <w:r>
        <w:t xml:space="preserve"> in </w:t>
      </w:r>
      <w:proofErr w:type="spellStart"/>
      <w:r>
        <w:t>PyMOL</w:t>
      </w:r>
      <w:proofErr w:type="spellEnd"/>
      <w:r>
        <w:t xml:space="preserve"> and further examined through a backbone dihedral angle plot. The model confirms the expected all-alpha globin fold, with backbone torsion angles concentrated almost exclusively in the alpha-helical region of phi/psi space and no evidence of beta-sheet structure. Taken together with the sequence conservation observed for this protein family in Task 2 — particularly around the </w:t>
      </w:r>
      <w:proofErr w:type="spellStart"/>
      <w:r>
        <w:t>heme</w:t>
      </w:r>
      <w:proofErr w:type="spellEnd"/>
      <w:r>
        <w:t xml:space="preserve">-coordinating </w:t>
      </w:r>
      <w:proofErr w:type="spellStart"/>
      <w:r>
        <w:t>histidines</w:t>
      </w:r>
      <w:proofErr w:type="spellEnd"/>
      <w:r>
        <w:t xml:space="preserve"> — the predicted structure is consistent with a protein whose fold is tightly constrained by its role in oxygen binding and transport, reinforcing the link between conserved sequence, conserved structure, and conserved function across the beta-globin family.</w:t>
      </w:r>
    </w:p>
    <w:p w:rsidR="004227BD" w:rsidRDefault="004227BD"/>
    <w:sectPr w:rsidR="004227B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2AA" w:rsidRDefault="006122AA" w:rsidP="00937818">
      <w:r>
        <w:separator/>
      </w:r>
    </w:p>
  </w:endnote>
  <w:endnote w:type="continuationSeparator" w:id="0">
    <w:p w:rsidR="006122AA" w:rsidRDefault="006122AA" w:rsidP="00937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2AA" w:rsidRDefault="006122AA" w:rsidP="00937818">
      <w:r>
        <w:separator/>
      </w:r>
    </w:p>
  </w:footnote>
  <w:footnote w:type="continuationSeparator" w:id="0">
    <w:p w:rsidR="006122AA" w:rsidRDefault="006122AA" w:rsidP="00937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818" w:rsidRPr="004A00B4" w:rsidRDefault="00937818" w:rsidP="00937818">
    <w:pPr>
      <w:pStyle w:val="Header"/>
      <w:jc w:val="right"/>
      <w:rPr>
        <w:b/>
        <w:i/>
      </w:rPr>
    </w:pPr>
    <w:r w:rsidRPr="004A00B4">
      <w:rPr>
        <w:b/>
        <w:i/>
        <w:noProof/>
      </w:rPr>
      <w:drawing>
        <wp:anchor distT="0" distB="0" distL="114300" distR="114300" simplePos="0" relativeHeight="251659264" behindDoc="0" locked="0" layoutInCell="1" allowOverlap="1" wp14:anchorId="63DACAAF" wp14:editId="5B9E8333">
          <wp:simplePos x="0" y="0"/>
          <wp:positionH relativeFrom="column">
            <wp:posOffset>-514350</wp:posOffset>
          </wp:positionH>
          <wp:positionV relativeFrom="paragraph">
            <wp:posOffset>-392430</wp:posOffset>
          </wp:positionV>
          <wp:extent cx="622300" cy="622300"/>
          <wp:effectExtent l="0" t="0" r="6350" b="0"/>
          <wp:wrapThrough wrapText="bothSides">
            <wp:wrapPolygon edited="0">
              <wp:start x="1322" y="5951"/>
              <wp:lineTo x="0" y="9257"/>
              <wp:lineTo x="0" y="15208"/>
              <wp:lineTo x="9918" y="16531"/>
              <wp:lineTo x="17853" y="16531"/>
              <wp:lineTo x="21159" y="12563"/>
              <wp:lineTo x="21159" y="8596"/>
              <wp:lineTo x="4629" y="5951"/>
              <wp:lineTo x="1322" y="5951"/>
            </wp:wrapPolygon>
          </wp:wrapThrough>
          <wp:docPr id="1" name="Picture 1" descr="C:\Users\admin\Downloads\Code_Alpha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Code_Alpha_Logo-removebg-previ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A00B4">
      <w:rPr>
        <w:b/>
        <w:i/>
      </w:rPr>
      <w:t xml:space="preserve">Submitted by </w:t>
    </w:r>
    <w:proofErr w:type="spellStart"/>
    <w:r w:rsidRPr="004A00B4">
      <w:rPr>
        <w:b/>
        <w:i/>
      </w:rPr>
      <w:t>Shara</w:t>
    </w:r>
    <w:proofErr w:type="spellEnd"/>
    <w:r w:rsidRPr="004A00B4">
      <w:rPr>
        <w:b/>
        <w:i/>
      </w:rPr>
      <w:t xml:space="preserve"> </w:t>
    </w:r>
    <w:proofErr w:type="spellStart"/>
    <w:r w:rsidRPr="004A00B4">
      <w:rPr>
        <w:b/>
        <w:i/>
      </w:rPr>
      <w:t>Warish</w:t>
    </w:r>
    <w:proofErr w:type="spellEnd"/>
  </w:p>
  <w:p w:rsidR="00937818" w:rsidRPr="00937818" w:rsidRDefault="00937818" w:rsidP="00937818">
    <w:pPr>
      <w:pStyle w:val="Header"/>
      <w:jc w:val="right"/>
      <w:rPr>
        <w:b/>
        <w:i/>
      </w:rPr>
    </w:pPr>
    <w:r w:rsidRPr="004A00B4">
      <w:rPr>
        <w:b/>
        <w:i/>
      </w:rPr>
      <w:t>CA/DF1/114975</w:t>
    </w:r>
  </w:p>
  <w:p w:rsidR="00937818" w:rsidRDefault="009378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40639"/>
    <w:multiLevelType w:val="hybridMultilevel"/>
    <w:tmpl w:val="F0AE0460"/>
    <w:lvl w:ilvl="0" w:tplc="0FEC5022">
      <w:start w:val="1"/>
      <w:numFmt w:val="bullet"/>
      <w:lvlText w:val="●"/>
      <w:lvlJc w:val="left"/>
      <w:pPr>
        <w:ind w:left="720" w:hanging="360"/>
      </w:pPr>
    </w:lvl>
    <w:lvl w:ilvl="1" w:tplc="BF66240A">
      <w:start w:val="1"/>
      <w:numFmt w:val="bullet"/>
      <w:lvlText w:val="○"/>
      <w:lvlJc w:val="left"/>
      <w:pPr>
        <w:ind w:left="1440" w:hanging="360"/>
      </w:pPr>
    </w:lvl>
    <w:lvl w:ilvl="2" w:tplc="DE7CD22E">
      <w:start w:val="1"/>
      <w:numFmt w:val="bullet"/>
      <w:lvlText w:val="■"/>
      <w:lvlJc w:val="left"/>
      <w:pPr>
        <w:ind w:left="2160" w:hanging="360"/>
      </w:pPr>
    </w:lvl>
    <w:lvl w:ilvl="3" w:tplc="B63EE528">
      <w:start w:val="1"/>
      <w:numFmt w:val="bullet"/>
      <w:lvlText w:val="●"/>
      <w:lvlJc w:val="left"/>
      <w:pPr>
        <w:ind w:left="2880" w:hanging="360"/>
      </w:pPr>
    </w:lvl>
    <w:lvl w:ilvl="4" w:tplc="D6F03096">
      <w:start w:val="1"/>
      <w:numFmt w:val="bullet"/>
      <w:lvlText w:val="○"/>
      <w:lvlJc w:val="left"/>
      <w:pPr>
        <w:ind w:left="3600" w:hanging="360"/>
      </w:pPr>
    </w:lvl>
    <w:lvl w:ilvl="5" w:tplc="2F7E4D5C">
      <w:start w:val="1"/>
      <w:numFmt w:val="bullet"/>
      <w:lvlText w:val="■"/>
      <w:lvlJc w:val="left"/>
      <w:pPr>
        <w:ind w:left="4320" w:hanging="360"/>
      </w:pPr>
    </w:lvl>
    <w:lvl w:ilvl="6" w:tplc="27A09F1C">
      <w:start w:val="1"/>
      <w:numFmt w:val="bullet"/>
      <w:lvlText w:val="●"/>
      <w:lvlJc w:val="left"/>
      <w:pPr>
        <w:ind w:left="5040" w:hanging="360"/>
      </w:pPr>
    </w:lvl>
    <w:lvl w:ilvl="7" w:tplc="7C961B5C">
      <w:start w:val="1"/>
      <w:numFmt w:val="bullet"/>
      <w:lvlText w:val="●"/>
      <w:lvlJc w:val="left"/>
      <w:pPr>
        <w:ind w:left="5760" w:hanging="360"/>
      </w:pPr>
    </w:lvl>
    <w:lvl w:ilvl="8" w:tplc="20BE8D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C"/>
    <w:rsid w:val="004227BD"/>
    <w:rsid w:val="006122AA"/>
    <w:rsid w:val="006C00A3"/>
    <w:rsid w:val="008F7C0C"/>
    <w:rsid w:val="00931B2C"/>
    <w:rsid w:val="0093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00D0"/>
  <w15:chartTrackingRefBased/>
  <w15:docId w15:val="{08B5BE5A-5350-4C47-BD94-72CEA2CB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C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8F7C0C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7C0C"/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ListParagraph">
    <w:name w:val="List Paragraph"/>
    <w:qFormat/>
    <w:rsid w:val="008F7C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78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81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378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81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901</Words>
  <Characters>5141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1. Objective</vt:lpstr>
      <vt:lpstr>2. Protein Selected</vt:lpstr>
      <vt:lpstr>3. Method</vt:lpstr>
      <vt:lpstr>4. Structure Images</vt:lpstr>
      <vt:lpstr>5. Structural Features — Short Report</vt:lpstr>
      <vt:lpstr>6. Conclusion</vt:lpstr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2026-07-08T15:50:00Z</dcterms:created>
  <dcterms:modified xsi:type="dcterms:W3CDTF">2026-07-08T15:50:00Z</dcterms:modified>
</cp:coreProperties>
</file>