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Sharad Kumar — Website Backlog Status</w:t>
      </w:r>
    </w:p>
    <w:p>
      <w:pPr>
        <w:spacing w:after="300"/>
      </w:pPr>
      <w:r>
        <w:rPr>
          <w:i/>
          <w:iCs/>
        </w:rPr>
        <w:t xml:space="preserve">Updated: July 3, 2026 — supersedes BACKLOG_STATUS_FINAL.docx</w:t>
      </w:r>
    </w:p>
    <w:p>
      <w:pPr>
        <w:pStyle w:val="Heading2"/>
        <w:spacing w:after="120" w:before="300"/>
      </w:pPr>
      <w:r>
        <w:t xml:space="preserve">1. Closed this cycle (verified against actual files, not assumed)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Cache-bust suffix (style.css?v=4) unified across all 6 core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 icon standardized to fa-calendar-days, tokenized to var(--clay) — now shifts gold in dark mode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Dead CSS removed — 19 unused selectors across two audit passes; verified 0 unused selectors remain sitewide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Hardcoded LinkedIn brand blue tokenized to --linkedin-blue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subpage.js magic numbers (700 / 500 / 40) extracted into named constants — no behavior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Subpage meta/OG tags added to gtm.html, solution.html, delivery.html — were completely missing (no og:title, description, twitter:card, or author)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Subpage structural skeleton unified — gtm/solution/delivery.html now share an identical tag+indentation structure, verified programmatically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Blog content audit (8 posts, corrected from originally assumed 6) — confirmed clean: no &lt;strong&gt; tags, all signatures present, tagline unified, no British spellings, no hardcoded colors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one inconsistent inline border-top override on the "Rethinking How Engineering Teams..." post — now matches the other 7 posts' default double-rule treatment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mywork.html connect-strip realigned to index.html's narrative-connect-strip pattern (padding, margin, and divider color — was using a flat gray --hairline instead of the intended brand-colored --clay-faint)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mywork.html intro paragraph rewritten (tightened from 6 clauses to 4) and a deliberate &lt;br&gt; added to separate the three towers (GTM/Solution/Delivery) from the workforce-transformation clause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Impact Snapshot spacing fixed — added top margin so it no longer reads as a continuation of the intro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Carousel section given breather margin above it, separating it visually from Impact Snapshot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Growth / Solution / Delivery column titles banded in the brand accent color (var(--clay), the token that shifts navy→gold in dark mode) instead of neutral 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"More on Growth / Solution / Delivery" links given more spacing from the carousel nav arrows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carousel columns fully boxed (border on all 4 sides, matching the sitewide .box/.sub-card card pattern) — replaces the old partial left-only divider so desktop now matches mobile's enclosed-card feel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"My Work" heading + "AI-Enabled Work" banded nav link added above the carousel, reusing the existing .page-header-row pattern from the subpages; stacks vertically on mobile, inline on desktop</w:t>
      </w:r>
    </w:p>
    <w:p>
      <w:pPr>
        <w:pStyle w:val="Heading2"/>
        <w:spacing w:after="120" w:before="300"/>
      </w:pPr>
      <w:r>
        <w:t xml:space="preserve">2. Struck off as stale (backlog said open — files say otherwise)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about.html deletion — file doesn't exist in this working set, nothing to delete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Tagline unification — already consistent ("Orchestrating Markets, Solutions &amp; Delivery") across all files; original backlog doc had outdated wording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Subpage content expansion — GTM/Solution/Delivery already carry 4 complete, richly written cards each; no content gap found</w:t>
      </w:r>
    </w:p>
    <w:p>
      <w:pPr>
        <w:pStyle w:val="Heading2"/>
        <w:spacing w:after="120" w:before="300"/>
      </w:pPr>
      <w:r>
        <w:t xml:space="preserve">3. New backlog — open, needs dedicated attention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isMobileLandscape() breakpoint (700px width / 500px height) in subpage.js — forces the 2-column desktop grid on short, wide viewports (mainly phones in landscape). Real UX tradeoff: avoids vertical scroll but risks cramped card text. Needs visual testing on an actual device before deciding whether to keep, flip, or adjust thresholds.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Connect-strip crowding on mobile portrait — flagged by the user as already tight; may need a different layout treatment in that orientation specifically.</w:t>
      </w:r>
    </w:p>
    <w:p>
      <w:pPr>
        <w:pStyle w:val="Heading2"/>
        <w:spacing w:after="120" w:before="300"/>
      </w:pPr>
      <w:r>
        <w:t xml:space="preserve">4. Explicitly deferred to a separate working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ai.html — net-new subpage for AI-enabled work. Backlog target: 6 exemplar cards spanning GTM / Solution / Delivery augmentation. Nav entry already built and wired ("AI-Enabled Work" badge on mywork.html points to ai.html) — will 404 until the page is built, which is expected and accepted by the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language to carry over: card pattern (var(--card-border), var(--card-bg), var(--radius)), band treatment (var(--clay-faint-dim) background + var(--clay) border), and the existing subpage template skeleton (letterhead → intro → card carousel → back-to-main) that gtm/solution/delivery.html already follow.</w:t>
      </w:r>
    </w:p>
    <w:p>
      <w:pPr>
        <w:pStyle w:val="Heading2"/>
        <w:spacing w:after="120" w:before="300"/>
      </w:pPr>
      <w:r>
        <w:t xml:space="preserve">5. Files current as of this handoff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index.html, mywork.html, blogs.html, gtm.html, solution.html, delivery.html, style.css, subpage.js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LinkedIn_Post_*.html files — audited, one fixed, rest unchanged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2026-07-03T04:03:04.872Z</dcterms:created>
  <dcterms:modified xsi:type="dcterms:W3CDTF">2026-07-03T04:03:04.872Z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