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19320F94" w:rsidR="00286CB9" w:rsidRPr="00F37584" w:rsidRDefault="002E6279" w:rsidP="002E6279">
      <w:pPr>
        <w:pStyle w:val="Title"/>
        <w:jc w:val="center"/>
        <w:rPr>
          <w:rFonts w:ascii="Palatino" w:hAnsi="Palatino"/>
          <w:color w:val="auto"/>
        </w:rPr>
      </w:pPr>
      <w:r w:rsidRPr="00F37584">
        <w:rPr>
          <w:rFonts w:ascii="Palatino" w:hAnsi="Palatino"/>
          <w:color w:val="auto"/>
        </w:rPr>
        <w:t>IKAMVA YOUTH</w:t>
      </w:r>
    </w:p>
    <w:p w14:paraId="110141AE" w14:textId="77777777" w:rsidR="000D755E" w:rsidRPr="00F37584" w:rsidRDefault="000D755E" w:rsidP="00F37584">
      <w:pPr>
        <w:pStyle w:val="Title"/>
        <w:jc w:val="center"/>
        <w:rPr>
          <w:color w:val="auto"/>
          <w:sz w:val="36"/>
          <w:szCs w:val="36"/>
        </w:rPr>
      </w:pPr>
      <w:r w:rsidRPr="00F37584">
        <w:rPr>
          <w:color w:val="auto"/>
          <w:sz w:val="36"/>
          <w:szCs w:val="36"/>
        </w:rPr>
        <w:t xml:space="preserve">IMPROVING THE CAPACITY OF THE YOUTH </w:t>
      </w:r>
    </w:p>
    <w:p w14:paraId="725704BB" w14:textId="0EB652D0" w:rsidR="002E6279" w:rsidRPr="002E6279" w:rsidRDefault="00EC0CD7" w:rsidP="002E6279">
      <w:pPr>
        <w:pStyle w:val="Title"/>
        <w:spacing w:after="120"/>
        <w:contextualSpacing w:val="0"/>
        <w:jc w:val="center"/>
        <w:rPr>
          <w:color w:val="auto"/>
          <w:sz w:val="36"/>
          <w:szCs w:val="36"/>
        </w:rPr>
      </w:pPr>
      <w:r w:rsidRPr="00F37584">
        <w:rPr>
          <w:color w:val="auto"/>
          <w:sz w:val="36"/>
          <w:szCs w:val="36"/>
        </w:rPr>
        <w:t>IN</w:t>
      </w:r>
      <w:r w:rsidR="0058332F" w:rsidRPr="00F37584">
        <w:rPr>
          <w:color w:val="auto"/>
          <w:sz w:val="36"/>
          <w:szCs w:val="36"/>
        </w:rPr>
        <w:t xml:space="preserve"> SOUTH AFRICA</w:t>
      </w:r>
    </w:p>
    <w:p w14:paraId="34F7964E" w14:textId="5C8F1AF6" w:rsidR="00286CB9" w:rsidRPr="00F37584" w:rsidRDefault="0058332F" w:rsidP="00F37584">
      <w:pPr>
        <w:pStyle w:val="Title"/>
        <w:jc w:val="center"/>
        <w:rPr>
          <w:color w:val="auto"/>
          <w:sz w:val="36"/>
          <w:szCs w:val="36"/>
        </w:rPr>
      </w:pPr>
      <w:r w:rsidRPr="00F37584">
        <w:rPr>
          <w:noProof/>
          <w:color w:val="auto"/>
          <w:sz w:val="36"/>
          <w:szCs w:val="36"/>
        </w:rPr>
        <w:drawing>
          <wp:inline distT="0" distB="0" distL="0" distR="0" wp14:anchorId="4C5E0F29" wp14:editId="60D7134E">
            <wp:extent cx="5722620" cy="3225800"/>
            <wp:effectExtent l="0" t="0" r="0" b="0"/>
            <wp:docPr id="1" name="Picture 1" descr="Macintosh HD:Users:mugehaseki:Desktop:ikamv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ikamva-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225800"/>
                    </a:xfrm>
                    <a:prstGeom prst="rect">
                      <a:avLst/>
                    </a:prstGeom>
                    <a:noFill/>
                    <a:ln>
                      <a:noFill/>
                    </a:ln>
                  </pic:spPr>
                </pic:pic>
              </a:graphicData>
            </a:graphic>
          </wp:inline>
        </w:drawing>
      </w:r>
    </w:p>
    <w:p w14:paraId="0579BAEC" w14:textId="5C7DA7AD" w:rsidR="00F37584" w:rsidRPr="00F6021D" w:rsidRDefault="006E694E" w:rsidP="00F6021D">
      <w:pPr>
        <w:jc w:val="center"/>
        <w:rPr>
          <w:i/>
        </w:rPr>
      </w:pPr>
      <w:r w:rsidRPr="00F37584">
        <w:rPr>
          <w:i/>
        </w:rPr>
        <w:t xml:space="preserve"> Photo </w:t>
      </w:r>
      <w:r w:rsidR="0031042E" w:rsidRPr="00F37584">
        <w:rPr>
          <w:i/>
        </w:rPr>
        <w:t>credit</w:t>
      </w:r>
      <w:r w:rsidR="00325325" w:rsidRPr="00F37584">
        <w:rPr>
          <w:i/>
        </w:rPr>
        <w:t>:</w:t>
      </w:r>
      <w:r w:rsidR="0058332F" w:rsidRPr="00F37584">
        <w:rPr>
          <w:i/>
        </w:rPr>
        <w:t xml:space="preserve"> Ikamva Youth</w:t>
      </w:r>
      <w:r w:rsidR="00325325" w:rsidRPr="00F37584">
        <w:rPr>
          <w:i/>
        </w:rPr>
        <w:t xml:space="preserve"> </w:t>
      </w:r>
    </w:p>
    <w:p w14:paraId="5E1020E3" w14:textId="77777777" w:rsidR="00286CB9" w:rsidRPr="00F37584" w:rsidRDefault="00286CB9" w:rsidP="00F6021D">
      <w:pPr>
        <w:pStyle w:val="Heading1"/>
        <w:rPr>
          <w:b/>
        </w:rPr>
      </w:pPr>
      <w:r w:rsidRPr="00F37584">
        <w:t xml:space="preserve">Executive Summary </w:t>
      </w:r>
    </w:p>
    <w:p w14:paraId="6B03D37E" w14:textId="299AC3BC" w:rsidR="00F335AB" w:rsidRPr="00F37584" w:rsidRDefault="00563783" w:rsidP="00F37584">
      <w:pPr>
        <w:pStyle w:val="NormalWeb"/>
        <w:spacing w:before="0" w:beforeAutospacing="0" w:after="0" w:afterAutospacing="0"/>
        <w:jc w:val="both"/>
        <w:textAlignment w:val="baseline"/>
      </w:pPr>
      <w:r w:rsidRPr="00F37584">
        <w:t>Ikamva</w:t>
      </w:r>
      <w:r w:rsidR="001541B1" w:rsidRPr="00F37584">
        <w:t xml:space="preserve"> </w:t>
      </w:r>
      <w:r w:rsidRPr="00F37584">
        <w:t>Youth</w:t>
      </w:r>
      <w:r w:rsidR="00F37584">
        <w:t>, a non</w:t>
      </w:r>
      <w:r w:rsidR="001E29FF" w:rsidRPr="00F37584">
        <w:t>profit founded in 2004,</w:t>
      </w:r>
      <w:r w:rsidRPr="00F37584">
        <w:t xml:space="preserve"> equips learners from disadvantaged communities </w:t>
      </w:r>
      <w:r w:rsidR="001E29FF" w:rsidRPr="00F37584">
        <w:t xml:space="preserve">in South Africa </w:t>
      </w:r>
      <w:r w:rsidRPr="00F37584">
        <w:t>with the knowledge, skills, networks</w:t>
      </w:r>
      <w:r w:rsidR="00DD2A14">
        <w:t>,</w:t>
      </w:r>
      <w:r w:rsidRPr="00F37584">
        <w:t xml:space="preserve"> and resources to access tertiary education and/or employment opportunities once they matriculate. Ikamva</w:t>
      </w:r>
      <w:r w:rsidR="001541B1" w:rsidRPr="00F37584">
        <w:t xml:space="preserve"> </w:t>
      </w:r>
      <w:r w:rsidRPr="00F37584">
        <w:t xml:space="preserve">Youth aims to increase the collective skill level of the population, grow the national knowledge base, and replicate </w:t>
      </w:r>
      <w:r w:rsidR="00DD2A14">
        <w:t xml:space="preserve">its </w:t>
      </w:r>
      <w:r w:rsidRPr="00F37584">
        <w:t>success in more communities. Ikamva</w:t>
      </w:r>
      <w:r w:rsidR="001541B1" w:rsidRPr="00F37584">
        <w:t xml:space="preserve"> </w:t>
      </w:r>
      <w:r w:rsidRPr="00F37584">
        <w:t xml:space="preserve">Youth currently operates </w:t>
      </w:r>
      <w:r w:rsidR="001E29FF" w:rsidRPr="00F37584">
        <w:t>with branches in</w:t>
      </w:r>
      <w:r w:rsidR="00DD2A14">
        <w:t xml:space="preserve"> five provinces of South Africa:</w:t>
      </w:r>
      <w:r w:rsidR="00000B92">
        <w:t xml:space="preserve"> </w:t>
      </w:r>
      <w:r w:rsidRPr="00F37584">
        <w:t>Western Cape,</w:t>
      </w:r>
      <w:r w:rsidR="00F37584">
        <w:t xml:space="preserve"> Gauteng, KwaZulu-Natal, </w:t>
      </w:r>
      <w:r w:rsidR="00513ECB">
        <w:t>Northw</w:t>
      </w:r>
      <w:r w:rsidR="00513ECB" w:rsidRPr="00513ECB">
        <w:t>est</w:t>
      </w:r>
      <w:r w:rsidR="00513ECB">
        <w:t>,</w:t>
      </w:r>
      <w:r w:rsidR="00513ECB" w:rsidRPr="00513ECB">
        <w:t xml:space="preserve"> and Eastern Cape</w:t>
      </w:r>
      <w:r w:rsidRPr="00F37584">
        <w:t>. While learners enroll at Ikamva</w:t>
      </w:r>
      <w:r w:rsidR="001541B1" w:rsidRPr="00F37584">
        <w:t xml:space="preserve"> </w:t>
      </w:r>
      <w:r w:rsidRPr="00F37584">
        <w:t>Youth when they are in gr</w:t>
      </w:r>
      <w:r w:rsidR="009B60BE">
        <w:t>ades 9, 10, a</w:t>
      </w:r>
      <w:r w:rsidR="001E29FF" w:rsidRPr="00F37584">
        <w:t>nd 11, the program</w:t>
      </w:r>
      <w:r w:rsidR="00413C96">
        <w:t>’</w:t>
      </w:r>
      <w:r w:rsidRPr="00F37584">
        <w:t>s success is ultimately determined by the number of grade 12 learners who access tertiary institutions and/or employment-based learning opportunities when they matriculate. The Ikamva</w:t>
      </w:r>
      <w:r w:rsidR="001541B1" w:rsidRPr="00F37584">
        <w:t xml:space="preserve"> </w:t>
      </w:r>
      <w:r w:rsidRPr="00F37584">
        <w:t xml:space="preserve">Youth model draws from a large and growing pool of </w:t>
      </w:r>
      <w:r w:rsidR="001E29FF" w:rsidRPr="00F37584">
        <w:t>volunteers made up of students from nearby universities</w:t>
      </w:r>
      <w:r w:rsidRPr="00F37584">
        <w:t xml:space="preserve"> and </w:t>
      </w:r>
      <w:r w:rsidR="001E29FF" w:rsidRPr="00F37584">
        <w:t xml:space="preserve">local professionals. </w:t>
      </w:r>
      <w:r w:rsidR="009B60BE">
        <w:t>Notably, e</w:t>
      </w:r>
      <w:r w:rsidR="009B60BE" w:rsidRPr="00F37584">
        <w:t>x-learners who gain entrance to tertiary institutions and return to tutor drive the organization’s sustainability</w:t>
      </w:r>
      <w:r w:rsidRPr="00F37584">
        <w:t xml:space="preserve">. </w:t>
      </w:r>
    </w:p>
    <w:p w14:paraId="2A0496EC" w14:textId="77777777" w:rsidR="00F37584" w:rsidRPr="00F37584" w:rsidRDefault="00F37584" w:rsidP="00F37584">
      <w:pPr>
        <w:pStyle w:val="NormalWeb"/>
        <w:spacing w:before="0" w:beforeAutospacing="0" w:after="0" w:afterAutospacing="0"/>
        <w:textAlignment w:val="baseline"/>
        <w:rPr>
          <w:i/>
        </w:rPr>
      </w:pPr>
    </w:p>
    <w:p w14:paraId="4F52A0AE" w14:textId="7DB23F48" w:rsidR="00F335AB" w:rsidRPr="00F37584" w:rsidRDefault="00F335AB" w:rsidP="00F37584">
      <w:pPr>
        <w:pStyle w:val="NormalWeb"/>
        <w:spacing w:before="0" w:beforeAutospacing="0" w:after="0" w:afterAutospacing="0"/>
        <w:textAlignment w:val="baseline"/>
        <w:rPr>
          <w:i/>
        </w:rPr>
      </w:pPr>
      <w:r w:rsidRPr="00F37584">
        <w:rPr>
          <w:i/>
        </w:rPr>
        <w:t xml:space="preserve">Keywords: digital literacy, youth, </w:t>
      </w:r>
      <w:r w:rsidR="001541B1" w:rsidRPr="00F37584">
        <w:rPr>
          <w:i/>
        </w:rPr>
        <w:t xml:space="preserve">employment, </w:t>
      </w:r>
      <w:r w:rsidRPr="00F37584">
        <w:rPr>
          <w:i/>
        </w:rPr>
        <w:t>South Africa</w:t>
      </w:r>
    </w:p>
    <w:p w14:paraId="41345B3D" w14:textId="2A198FE4" w:rsidR="00C9492F" w:rsidRPr="00F37584" w:rsidRDefault="00C9492F" w:rsidP="00F6021D">
      <w:pPr>
        <w:pStyle w:val="Heading1"/>
        <w:rPr>
          <w:b/>
        </w:rPr>
      </w:pPr>
      <w:r w:rsidRPr="00F37584">
        <w:t>Context</w:t>
      </w:r>
    </w:p>
    <w:p w14:paraId="79B93C78" w14:textId="3B63ACBC" w:rsidR="00AC412F" w:rsidRDefault="00AC412F" w:rsidP="00F6021D">
      <w:pPr>
        <w:spacing w:after="120"/>
        <w:jc w:val="both"/>
        <w:rPr>
          <w:rFonts w:eastAsia="Times New Roman"/>
          <w:color w:val="1D2129"/>
          <w:highlight w:val="white"/>
        </w:rPr>
      </w:pPr>
      <w:r>
        <w:rPr>
          <w:rFonts w:eastAsia="Times New Roman"/>
          <w:color w:val="1D2129"/>
          <w:highlight w:val="white"/>
        </w:rPr>
        <w:t xml:space="preserve">Statistics about literacy rates in South Africa are rather inconsistent. While </w:t>
      </w:r>
      <w:r>
        <w:rPr>
          <w:rFonts w:eastAsia="Times New Roman"/>
          <w:color w:val="1D2129"/>
        </w:rPr>
        <w:t xml:space="preserve">the </w:t>
      </w:r>
      <w:r w:rsidRPr="00EA385E">
        <w:rPr>
          <w:rFonts w:eastAsia="Times New Roman"/>
          <w:color w:val="1D2129"/>
        </w:rPr>
        <w:t>Unite</w:t>
      </w:r>
      <w:r>
        <w:rPr>
          <w:rFonts w:eastAsia="Times New Roman"/>
          <w:color w:val="1D2129"/>
        </w:rPr>
        <w:t>d Nations Educational, Scientific,</w:t>
      </w:r>
      <w:r w:rsidRPr="00EA385E">
        <w:rPr>
          <w:rFonts w:eastAsia="Times New Roman"/>
          <w:color w:val="1D2129"/>
        </w:rPr>
        <w:t xml:space="preserve"> and Cultural Organization</w:t>
      </w:r>
      <w:r w:rsidRPr="00EA385E">
        <w:rPr>
          <w:rFonts w:eastAsia="Times New Roman"/>
          <w:color w:val="1D2129"/>
          <w:highlight w:val="white"/>
        </w:rPr>
        <w:t xml:space="preserve"> </w:t>
      </w:r>
      <w:r>
        <w:rPr>
          <w:rFonts w:eastAsia="Times New Roman"/>
          <w:color w:val="1D2129"/>
          <w:highlight w:val="white"/>
        </w:rPr>
        <w:t xml:space="preserve">(UNESCO) estimated that 98.96 percent of </w:t>
      </w:r>
      <w:r>
        <w:rPr>
          <w:rFonts w:eastAsia="Times New Roman"/>
          <w:color w:val="1D2129"/>
          <w:highlight w:val="white"/>
        </w:rPr>
        <w:lastRenderedPageBreak/>
        <w:t>people between the ages of 15 to 24 were literate in 2015, the 2016 Research on Socioeconomic Policy brief showed that 58 percent of Grade 4 learners in South Africa could not read for meaning, while 29 percent are completely illiterate. Nevertheless, the quality of education in South Africa has been lamented by many researchers, policy-makers, and concerned citizens.</w:t>
      </w:r>
    </w:p>
    <w:p w14:paraId="7234ED55" w14:textId="79E66C67" w:rsidR="005122FD" w:rsidRDefault="00DA5114" w:rsidP="00F6021D">
      <w:pPr>
        <w:spacing w:after="120"/>
        <w:jc w:val="both"/>
        <w:rPr>
          <w:rFonts w:eastAsia="Times New Roman"/>
          <w:color w:val="1D2129"/>
          <w:highlight w:val="white"/>
        </w:rPr>
      </w:pPr>
      <w:bookmarkStart w:id="0" w:name="_3k0yjp4oi575" w:colFirst="0" w:colLast="0"/>
      <w:bookmarkEnd w:id="0"/>
      <w:r>
        <w:rPr>
          <w:rFonts w:eastAsia="Times New Roman"/>
          <w:color w:val="1D2129"/>
          <w:highlight w:val="white"/>
        </w:rPr>
        <w:t>T</w:t>
      </w:r>
      <w:r w:rsidR="005122FD">
        <w:rPr>
          <w:rFonts w:eastAsia="Times New Roman"/>
          <w:color w:val="1D2129"/>
          <w:highlight w:val="white"/>
        </w:rPr>
        <w:t>he high cost of labor, low skills, difficulty job searching, and persistently low employment outcomes are some of the barriers for South African youth to securing employment. The challenging job search is related to the fact that poor youth cannot afford or are incapable of using the Internet to search for jobs or postsecondary education opportunities, and it is difficult for them to leverage their social network.</w:t>
      </w:r>
    </w:p>
    <w:p w14:paraId="1C2FDAB2" w14:textId="0F090D57" w:rsidR="005122FD" w:rsidRDefault="005122FD" w:rsidP="00F6021D">
      <w:pPr>
        <w:spacing w:after="120"/>
        <w:jc w:val="both"/>
        <w:rPr>
          <w:rFonts w:eastAsia="Times New Roman"/>
          <w:color w:val="1D2129"/>
          <w:highlight w:val="white"/>
        </w:rPr>
      </w:pPr>
      <w:bookmarkStart w:id="1" w:name="_gjdgxs" w:colFirst="0" w:colLast="0"/>
      <w:bookmarkEnd w:id="1"/>
      <w:r>
        <w:rPr>
          <w:rFonts w:eastAsia="Times New Roman"/>
          <w:color w:val="1D2129"/>
          <w:highlight w:val="white"/>
        </w:rPr>
        <w:t xml:space="preserve">The South African government and other organizations have been striving to address youth unemployment issues through various programs. The National Youth Development Agency (NYDA) is an agency established in 2008 that is operating the National Youth Service (NYS) program, which tackles youth unemployment. The Fit for Life, Fit for Work program provides young people with a comprehensive program that offers life skills and work-related skills training, and job search assistance, with </w:t>
      </w:r>
      <w:proofErr w:type="gramStart"/>
      <w:r>
        <w:rPr>
          <w:rFonts w:eastAsia="Times New Roman"/>
          <w:color w:val="1D2129"/>
          <w:highlight w:val="white"/>
        </w:rPr>
        <w:t>a</w:t>
      </w:r>
      <w:proofErr w:type="gramEnd"/>
      <w:r>
        <w:rPr>
          <w:rFonts w:eastAsia="Times New Roman"/>
          <w:color w:val="1D2129"/>
          <w:highlight w:val="white"/>
        </w:rPr>
        <w:t xml:space="preserve"> 80 percent success rate. Additionally, the Harambee Youth Employment Accelerator project takes a different approach by advocating </w:t>
      </w:r>
      <w:proofErr w:type="gramStart"/>
      <w:r>
        <w:rPr>
          <w:rFonts w:eastAsia="Times New Roman"/>
          <w:color w:val="1D2129"/>
          <w:highlight w:val="white"/>
        </w:rPr>
        <w:t>employers</w:t>
      </w:r>
      <w:proofErr w:type="gramEnd"/>
      <w:r>
        <w:rPr>
          <w:rFonts w:eastAsia="Times New Roman"/>
          <w:color w:val="1D2129"/>
          <w:highlight w:val="white"/>
        </w:rPr>
        <w:t xml:space="preserve"> practice inclusive recruitment that focuses on young people.</w:t>
      </w:r>
    </w:p>
    <w:p w14:paraId="135D59B7" w14:textId="77777777" w:rsidR="00F37584" w:rsidRPr="00F37584" w:rsidRDefault="00F37584" w:rsidP="00F6021D">
      <w:pPr>
        <w:spacing w:after="120"/>
        <w:jc w:val="both"/>
        <w:rPr>
          <w:rFonts w:eastAsia="Times New Roman"/>
          <w:color w:val="1D2129"/>
          <w:highlight w:val="white"/>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828"/>
        <w:gridCol w:w="1703"/>
        <w:gridCol w:w="2598"/>
        <w:gridCol w:w="1881"/>
      </w:tblGrid>
      <w:tr w:rsidR="00955274" w:rsidRPr="00F37584" w14:paraId="1BB1AECB" w14:textId="77777777" w:rsidTr="00F6021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31DA3861" w14:textId="77777777" w:rsidR="00955274" w:rsidRPr="00F37584" w:rsidRDefault="00955274" w:rsidP="00F6021D">
            <w:pPr>
              <w:jc w:val="center"/>
              <w:rPr>
                <w:color w:val="000000"/>
                <w:sz w:val="24"/>
                <w:szCs w:val="24"/>
                <w:lang w:eastAsia="en-US"/>
              </w:rPr>
            </w:pPr>
            <w:r w:rsidRPr="00F37584">
              <w:rPr>
                <w:color w:val="000000"/>
                <w:sz w:val="24"/>
                <w:szCs w:val="24"/>
                <w:lang w:eastAsia="en-US"/>
              </w:rPr>
              <w:t>South Africa</w:t>
            </w:r>
          </w:p>
        </w:tc>
      </w:tr>
      <w:tr w:rsidR="00955274" w:rsidRPr="00F37584" w14:paraId="2034EAA9" w14:textId="77777777" w:rsidTr="00F6021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0A8B5527" w14:textId="08484CBC" w:rsidR="00955274" w:rsidRPr="00F37584" w:rsidRDefault="00955274" w:rsidP="00F6021D">
            <w:pPr>
              <w:jc w:val="center"/>
              <w:rPr>
                <w:b w:val="0"/>
                <w:bCs w:val="0"/>
                <w:color w:val="000000"/>
                <w:sz w:val="24"/>
                <w:szCs w:val="24"/>
                <w:lang w:eastAsia="en-US"/>
              </w:rPr>
            </w:pPr>
            <w:r w:rsidRPr="00F37584">
              <w:rPr>
                <w:color w:val="000000"/>
                <w:sz w:val="24"/>
                <w:szCs w:val="24"/>
                <w:lang w:eastAsia="en-US"/>
              </w:rPr>
              <w:t>Population</w:t>
            </w:r>
          </w:p>
          <w:p w14:paraId="1E4E5D83" w14:textId="77777777" w:rsidR="00955274" w:rsidRPr="00F37584" w:rsidRDefault="00955274" w:rsidP="00F6021D">
            <w:pPr>
              <w:jc w:val="center"/>
              <w:rPr>
                <w:color w:val="000000"/>
                <w:sz w:val="24"/>
                <w:szCs w:val="24"/>
                <w:lang w:eastAsia="en-US"/>
              </w:rPr>
            </w:pPr>
            <w:r w:rsidRPr="00F37584">
              <w:rPr>
                <w:color w:val="000000"/>
                <w:sz w:val="24"/>
                <w:szCs w:val="24"/>
                <w:lang w:eastAsia="en-US"/>
              </w:rPr>
              <w:t>(UN, 2015)</w:t>
            </w:r>
          </w:p>
        </w:tc>
        <w:tc>
          <w:tcPr>
            <w:tcW w:w="945" w:type="pct"/>
            <w:shd w:val="clear" w:color="auto" w:fill="auto"/>
            <w:vAlign w:val="center"/>
          </w:tcPr>
          <w:p w14:paraId="3F6621BD" w14:textId="77777777"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F37584">
              <w:rPr>
                <w:color w:val="000000"/>
                <w:sz w:val="24"/>
                <w:szCs w:val="24"/>
                <w:lang w:eastAsia="en-US"/>
              </w:rPr>
              <w:t>53,491,333</w:t>
            </w:r>
          </w:p>
        </w:tc>
        <w:tc>
          <w:tcPr>
            <w:tcW w:w="1442" w:type="pct"/>
            <w:shd w:val="clear" w:color="auto" w:fill="auto"/>
            <w:vAlign w:val="center"/>
          </w:tcPr>
          <w:p w14:paraId="4C291D83" w14:textId="58B47CF8"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eastAsia="en-US"/>
              </w:rPr>
            </w:pPr>
            <w:r w:rsidRPr="00F37584">
              <w:rPr>
                <w:b/>
                <w:color w:val="000000"/>
                <w:sz w:val="24"/>
                <w:szCs w:val="24"/>
                <w:lang w:eastAsia="en-US"/>
              </w:rPr>
              <w:t>Fixed broadband subscriptions (%)</w:t>
            </w:r>
          </w:p>
          <w:p w14:paraId="605DF9DD" w14:textId="77777777"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eastAsia="en-US"/>
              </w:rPr>
            </w:pPr>
            <w:r w:rsidRPr="00F37584">
              <w:rPr>
                <w:b/>
                <w:color w:val="000000"/>
                <w:sz w:val="24"/>
                <w:szCs w:val="24"/>
                <w:lang w:eastAsia="en-US"/>
              </w:rPr>
              <w:t>(ITU, 2016)</w:t>
            </w:r>
          </w:p>
        </w:tc>
        <w:tc>
          <w:tcPr>
            <w:tcW w:w="1044" w:type="pct"/>
            <w:shd w:val="clear" w:color="auto" w:fill="auto"/>
            <w:vAlign w:val="center"/>
          </w:tcPr>
          <w:p w14:paraId="104773DF" w14:textId="77777777"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F37584">
              <w:rPr>
                <w:color w:val="000000"/>
                <w:sz w:val="24"/>
                <w:szCs w:val="24"/>
                <w:lang w:eastAsia="en-US"/>
              </w:rPr>
              <w:t>2.84</w:t>
            </w:r>
          </w:p>
        </w:tc>
      </w:tr>
      <w:tr w:rsidR="00955274" w:rsidRPr="00F37584" w14:paraId="4FD22F5A" w14:textId="77777777" w:rsidTr="00F6021D">
        <w:trPr>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291B1529" w14:textId="463B5514" w:rsidR="00955274" w:rsidRPr="00F37584" w:rsidRDefault="00955274" w:rsidP="00F6021D">
            <w:pPr>
              <w:shd w:val="clear" w:color="auto" w:fill="FFFFFF"/>
              <w:jc w:val="center"/>
              <w:rPr>
                <w:rFonts w:ascii="Arial" w:eastAsia="Times New Roman" w:hAnsi="Arial" w:cs="Arial"/>
                <w:color w:val="000000"/>
                <w:sz w:val="21"/>
                <w:szCs w:val="21"/>
                <w:lang w:eastAsia="en-US"/>
              </w:rPr>
            </w:pPr>
            <w:r w:rsidRPr="00F37584">
              <w:rPr>
                <w:rFonts w:eastAsia="Times New Roman"/>
                <w:color w:val="000000"/>
                <w:sz w:val="24"/>
                <w:szCs w:val="24"/>
                <w:lang w:eastAsia="en-US"/>
              </w:rPr>
              <w:t>Po</w:t>
            </w:r>
            <w:r w:rsidR="00F37584">
              <w:rPr>
                <w:rFonts w:eastAsia="Times New Roman"/>
                <w:color w:val="000000"/>
                <w:sz w:val="24"/>
                <w:szCs w:val="24"/>
                <w:lang w:eastAsia="en-US"/>
              </w:rPr>
              <w:t>pulation dens</w:t>
            </w:r>
            <w:r w:rsidR="00F6021D">
              <w:rPr>
                <w:rFonts w:eastAsia="Times New Roman"/>
                <w:color w:val="000000"/>
                <w:sz w:val="24"/>
                <w:szCs w:val="24"/>
                <w:lang w:eastAsia="en-US"/>
              </w:rPr>
              <w:t>ity (people per sq.km</w:t>
            </w:r>
            <w:r w:rsidRPr="00F37584">
              <w:rPr>
                <w:rFonts w:eastAsia="Times New Roman"/>
                <w:color w:val="000000"/>
                <w:sz w:val="24"/>
                <w:szCs w:val="24"/>
                <w:lang w:eastAsia="en-US"/>
              </w:rPr>
              <w:t>)</w:t>
            </w:r>
          </w:p>
          <w:p w14:paraId="0F078F7A" w14:textId="77777777" w:rsidR="00955274" w:rsidRPr="00F37584" w:rsidRDefault="00955274" w:rsidP="00F6021D">
            <w:pPr>
              <w:jc w:val="center"/>
              <w:rPr>
                <w:color w:val="000000"/>
                <w:sz w:val="24"/>
                <w:szCs w:val="24"/>
                <w:lang w:eastAsia="en-US"/>
              </w:rPr>
            </w:pPr>
            <w:r w:rsidRPr="00F37584">
              <w:rPr>
                <w:rFonts w:eastAsia="Times New Roman"/>
                <w:color w:val="000000"/>
                <w:sz w:val="24"/>
                <w:szCs w:val="24"/>
                <w:lang w:eastAsia="en-US"/>
              </w:rPr>
              <w:t>(UN, 2015)</w:t>
            </w:r>
          </w:p>
        </w:tc>
        <w:tc>
          <w:tcPr>
            <w:tcW w:w="945" w:type="pct"/>
            <w:shd w:val="clear" w:color="auto" w:fill="auto"/>
            <w:vAlign w:val="center"/>
          </w:tcPr>
          <w:p w14:paraId="3017FD09" w14:textId="77777777"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eastAsia="en-US"/>
              </w:rPr>
            </w:pPr>
            <w:r w:rsidRPr="00F37584">
              <w:rPr>
                <w:color w:val="000000"/>
                <w:sz w:val="24"/>
                <w:szCs w:val="24"/>
                <w:lang w:eastAsia="en-US"/>
              </w:rPr>
              <w:t>43.81</w:t>
            </w:r>
          </w:p>
        </w:tc>
        <w:tc>
          <w:tcPr>
            <w:tcW w:w="1442" w:type="pct"/>
            <w:shd w:val="clear" w:color="auto" w:fill="auto"/>
            <w:vAlign w:val="center"/>
          </w:tcPr>
          <w:p w14:paraId="23530136" w14:textId="1F2B2A89"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b/>
                <w:color w:val="000000"/>
                <w:sz w:val="24"/>
                <w:szCs w:val="24"/>
                <w:lang w:eastAsia="en-US"/>
              </w:rPr>
            </w:pPr>
            <w:r w:rsidRPr="00F37584">
              <w:rPr>
                <w:b/>
                <w:color w:val="000000"/>
                <w:sz w:val="24"/>
                <w:szCs w:val="24"/>
                <w:lang w:eastAsia="en-US"/>
              </w:rPr>
              <w:t>Mobile cellular subscriptions (%)</w:t>
            </w:r>
          </w:p>
          <w:p w14:paraId="42623E46" w14:textId="77777777"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b/>
                <w:color w:val="000000"/>
                <w:sz w:val="24"/>
                <w:szCs w:val="24"/>
                <w:lang w:eastAsia="en-US"/>
              </w:rPr>
            </w:pPr>
            <w:r w:rsidRPr="00F37584">
              <w:rPr>
                <w:b/>
                <w:color w:val="000000"/>
                <w:sz w:val="24"/>
                <w:szCs w:val="24"/>
                <w:lang w:eastAsia="en-US"/>
              </w:rPr>
              <w:t>(ITU, 2016)</w:t>
            </w:r>
          </w:p>
        </w:tc>
        <w:tc>
          <w:tcPr>
            <w:tcW w:w="1044" w:type="pct"/>
            <w:shd w:val="clear" w:color="auto" w:fill="auto"/>
            <w:vAlign w:val="center"/>
          </w:tcPr>
          <w:p w14:paraId="4DFBCC1C" w14:textId="77777777"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eastAsia="en-US"/>
              </w:rPr>
            </w:pPr>
            <w:r w:rsidRPr="00F37584">
              <w:rPr>
                <w:color w:val="000000"/>
                <w:sz w:val="24"/>
                <w:szCs w:val="24"/>
                <w:lang w:eastAsia="en-US"/>
              </w:rPr>
              <w:t>142.38</w:t>
            </w:r>
          </w:p>
        </w:tc>
      </w:tr>
      <w:tr w:rsidR="00955274" w:rsidRPr="00F37584" w14:paraId="674CFF01" w14:textId="77777777" w:rsidTr="00F6021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4D6F8016" w14:textId="77777777" w:rsidR="00955274" w:rsidRPr="00F37584" w:rsidRDefault="00955274" w:rsidP="00F6021D">
            <w:pPr>
              <w:jc w:val="center"/>
              <w:rPr>
                <w:rFonts w:ascii="Arial" w:eastAsia="Times New Roman" w:hAnsi="Arial" w:cs="Arial"/>
                <w:color w:val="000000"/>
                <w:sz w:val="21"/>
                <w:szCs w:val="21"/>
                <w:lang w:eastAsia="en-US"/>
              </w:rPr>
            </w:pPr>
            <w:r w:rsidRPr="00F37584">
              <w:rPr>
                <w:rFonts w:eastAsia="Times New Roman"/>
                <w:color w:val="000000"/>
                <w:sz w:val="24"/>
                <w:szCs w:val="24"/>
                <w:lang w:eastAsia="en-US"/>
              </w:rPr>
              <w:t>Median household income</w:t>
            </w:r>
          </w:p>
          <w:p w14:paraId="4991B784" w14:textId="77777777" w:rsidR="00955274" w:rsidRPr="00F37584" w:rsidRDefault="00955274" w:rsidP="00F6021D">
            <w:pPr>
              <w:jc w:val="center"/>
              <w:rPr>
                <w:color w:val="000000"/>
                <w:sz w:val="24"/>
                <w:szCs w:val="24"/>
                <w:lang w:eastAsia="en-US"/>
              </w:rPr>
            </w:pPr>
            <w:r w:rsidRPr="00F37584">
              <w:rPr>
                <w:rFonts w:eastAsia="Times New Roman"/>
                <w:color w:val="000000"/>
                <w:sz w:val="24"/>
                <w:szCs w:val="24"/>
                <w:lang w:eastAsia="en-US"/>
              </w:rPr>
              <w:t>(Gallup, 2006-2012)</w:t>
            </w:r>
          </w:p>
        </w:tc>
        <w:tc>
          <w:tcPr>
            <w:tcW w:w="945" w:type="pct"/>
            <w:shd w:val="clear" w:color="auto" w:fill="auto"/>
            <w:vAlign w:val="center"/>
          </w:tcPr>
          <w:p w14:paraId="763A0F87" w14:textId="38FCD904" w:rsidR="00955274" w:rsidRPr="00F37584" w:rsidRDefault="00F6021D" w:rsidP="00F6021D">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Pr>
                <w:color w:val="000000"/>
                <w:sz w:val="24"/>
                <w:szCs w:val="24"/>
                <w:lang w:eastAsia="en-US"/>
              </w:rPr>
              <w:t>US</w:t>
            </w:r>
            <w:proofErr w:type="gramStart"/>
            <w:r>
              <w:rPr>
                <w:color w:val="000000"/>
                <w:sz w:val="24"/>
                <w:szCs w:val="24"/>
                <w:lang w:eastAsia="en-US"/>
              </w:rPr>
              <w:t xml:space="preserve">$  </w:t>
            </w:r>
            <w:r w:rsidR="00955274" w:rsidRPr="00F37584">
              <w:rPr>
                <w:color w:val="000000"/>
                <w:sz w:val="24"/>
                <w:szCs w:val="24"/>
                <w:lang w:eastAsia="en-US"/>
              </w:rPr>
              <w:t>5</w:t>
            </w:r>
            <w:r w:rsidR="00F37584">
              <w:rPr>
                <w:color w:val="000000"/>
                <w:sz w:val="24"/>
                <w:szCs w:val="24"/>
                <w:lang w:eastAsia="en-US"/>
              </w:rPr>
              <w:t>,</w:t>
            </w:r>
            <w:r w:rsidR="00955274" w:rsidRPr="00F37584">
              <w:rPr>
                <w:color w:val="000000"/>
                <w:sz w:val="24"/>
                <w:szCs w:val="24"/>
                <w:lang w:eastAsia="en-US"/>
              </w:rPr>
              <w:t>217</w:t>
            </w:r>
            <w:proofErr w:type="gramEnd"/>
          </w:p>
        </w:tc>
        <w:tc>
          <w:tcPr>
            <w:tcW w:w="1442" w:type="pct"/>
            <w:shd w:val="clear" w:color="auto" w:fill="auto"/>
            <w:vAlign w:val="center"/>
          </w:tcPr>
          <w:p w14:paraId="2C72A04F" w14:textId="560B8796"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37584">
              <w:rPr>
                <w:b/>
                <w:sz w:val="24"/>
                <w:szCs w:val="24"/>
              </w:rPr>
              <w:t>Individuals using the Internet (%)</w:t>
            </w:r>
          </w:p>
          <w:p w14:paraId="447CD0B0" w14:textId="77777777"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eastAsia="en-US"/>
              </w:rPr>
            </w:pPr>
            <w:r w:rsidRPr="00F37584">
              <w:rPr>
                <w:b/>
                <w:sz w:val="24"/>
                <w:szCs w:val="24"/>
              </w:rPr>
              <w:t>(ITU, 2016)</w:t>
            </w:r>
          </w:p>
        </w:tc>
        <w:tc>
          <w:tcPr>
            <w:tcW w:w="1044" w:type="pct"/>
            <w:shd w:val="clear" w:color="auto" w:fill="auto"/>
            <w:vAlign w:val="center"/>
          </w:tcPr>
          <w:p w14:paraId="035ECF8D" w14:textId="77777777" w:rsidR="00955274" w:rsidRPr="00F37584" w:rsidRDefault="00955274" w:rsidP="00F6021D">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eastAsia="en-US"/>
              </w:rPr>
            </w:pPr>
            <w:r w:rsidRPr="00F37584">
              <w:rPr>
                <w:color w:val="000000"/>
                <w:sz w:val="24"/>
                <w:szCs w:val="24"/>
                <w:lang w:eastAsia="en-US"/>
              </w:rPr>
              <w:t>54</w:t>
            </w:r>
          </w:p>
        </w:tc>
      </w:tr>
      <w:tr w:rsidR="00955274" w:rsidRPr="00F37584" w14:paraId="373226CF" w14:textId="77777777" w:rsidTr="00F6021D">
        <w:trPr>
          <w:trHeight w:val="20"/>
        </w:trPr>
        <w:tc>
          <w:tcPr>
            <w:cnfStyle w:val="001000000000" w:firstRow="0" w:lastRow="0" w:firstColumn="1" w:lastColumn="0" w:oddVBand="0" w:evenVBand="0" w:oddHBand="0" w:evenHBand="0" w:firstRowFirstColumn="0" w:firstRowLastColumn="0" w:lastRowFirstColumn="0" w:lastRowLastColumn="0"/>
            <w:tcW w:w="1569" w:type="pct"/>
            <w:shd w:val="clear" w:color="auto" w:fill="auto"/>
            <w:vAlign w:val="center"/>
          </w:tcPr>
          <w:p w14:paraId="63E53211" w14:textId="77777777" w:rsidR="00F6021D" w:rsidRDefault="00F6021D" w:rsidP="00F6021D">
            <w:pPr>
              <w:jc w:val="center"/>
              <w:rPr>
                <w:sz w:val="24"/>
                <w:szCs w:val="24"/>
              </w:rPr>
            </w:pPr>
            <w:r>
              <w:rPr>
                <w:sz w:val="24"/>
                <w:szCs w:val="24"/>
              </w:rPr>
              <w:t xml:space="preserve">Education </w:t>
            </w:r>
          </w:p>
          <w:p w14:paraId="2D17AA93" w14:textId="77777777" w:rsidR="00F6021D" w:rsidRDefault="00F6021D" w:rsidP="00F6021D">
            <w:pPr>
              <w:jc w:val="center"/>
              <w:rPr>
                <w:sz w:val="24"/>
                <w:szCs w:val="24"/>
              </w:rPr>
            </w:pPr>
            <w:r>
              <w:rPr>
                <w:sz w:val="24"/>
                <w:szCs w:val="24"/>
              </w:rPr>
              <w:t>(M</w:t>
            </w:r>
            <w:r w:rsidR="00955274" w:rsidRPr="00F37584">
              <w:rPr>
                <w:sz w:val="24"/>
                <w:szCs w:val="24"/>
              </w:rPr>
              <w:t xml:space="preserve">ean years of schooling) </w:t>
            </w:r>
          </w:p>
          <w:p w14:paraId="0FDFBEB4" w14:textId="6ABE999A" w:rsidR="00955274" w:rsidRPr="00F37584" w:rsidRDefault="00955274" w:rsidP="00F6021D">
            <w:pPr>
              <w:jc w:val="center"/>
              <w:rPr>
                <w:sz w:val="24"/>
                <w:szCs w:val="24"/>
              </w:rPr>
            </w:pPr>
            <w:r w:rsidRPr="00F37584">
              <w:rPr>
                <w:sz w:val="24"/>
                <w:szCs w:val="24"/>
              </w:rPr>
              <w:t>(UNDP, 2013)</w:t>
            </w:r>
          </w:p>
        </w:tc>
        <w:tc>
          <w:tcPr>
            <w:tcW w:w="945" w:type="pct"/>
            <w:shd w:val="clear" w:color="auto" w:fill="auto"/>
            <w:vAlign w:val="center"/>
          </w:tcPr>
          <w:p w14:paraId="15A3C41A" w14:textId="77777777"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37584">
              <w:rPr>
                <w:sz w:val="24"/>
                <w:szCs w:val="24"/>
              </w:rPr>
              <w:t>Male: 10.1</w:t>
            </w:r>
          </w:p>
          <w:p w14:paraId="46A6E293" w14:textId="77777777"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37584">
              <w:rPr>
                <w:sz w:val="24"/>
                <w:szCs w:val="24"/>
              </w:rPr>
              <w:t>Female: 9.8</w:t>
            </w:r>
          </w:p>
        </w:tc>
        <w:tc>
          <w:tcPr>
            <w:tcW w:w="1442" w:type="pct"/>
            <w:shd w:val="clear" w:color="auto" w:fill="auto"/>
            <w:vAlign w:val="center"/>
          </w:tcPr>
          <w:p w14:paraId="0B4F0609" w14:textId="47F67B3A"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b/>
                <w:color w:val="000000"/>
                <w:sz w:val="24"/>
                <w:szCs w:val="24"/>
                <w:lang w:eastAsia="en-US"/>
              </w:rPr>
            </w:pPr>
            <w:r w:rsidRPr="00F37584">
              <w:rPr>
                <w:b/>
                <w:sz w:val="24"/>
                <w:szCs w:val="24"/>
              </w:rPr>
              <w:t>Ind</w:t>
            </w:r>
            <w:r w:rsidR="00F37584">
              <w:rPr>
                <w:b/>
                <w:sz w:val="24"/>
                <w:szCs w:val="24"/>
              </w:rPr>
              <w:t>ividuals using the Internet by g</w:t>
            </w:r>
            <w:r w:rsidRPr="00F37584">
              <w:rPr>
                <w:b/>
                <w:sz w:val="24"/>
                <w:szCs w:val="24"/>
              </w:rPr>
              <w:t>ender (%) (ITU, 2016)</w:t>
            </w:r>
          </w:p>
        </w:tc>
        <w:tc>
          <w:tcPr>
            <w:tcW w:w="1044" w:type="pct"/>
            <w:shd w:val="clear" w:color="auto" w:fill="auto"/>
            <w:vAlign w:val="center"/>
          </w:tcPr>
          <w:p w14:paraId="71A73892" w14:textId="77777777" w:rsidR="00955274" w:rsidRPr="00F37584" w:rsidRDefault="00955274" w:rsidP="00F6021D">
            <w:pPr>
              <w:jc w:val="center"/>
              <w:cnfStyle w:val="000000000000" w:firstRow="0" w:lastRow="0" w:firstColumn="0" w:lastColumn="0" w:oddVBand="0" w:evenVBand="0" w:oddHBand="0" w:evenHBand="0" w:firstRowFirstColumn="0" w:firstRowLastColumn="0" w:lastRowFirstColumn="0" w:lastRowLastColumn="0"/>
              <w:rPr>
                <w:color w:val="000000"/>
                <w:sz w:val="24"/>
                <w:szCs w:val="24"/>
                <w:lang w:eastAsia="en-US"/>
              </w:rPr>
            </w:pPr>
            <w:r w:rsidRPr="00F37584">
              <w:rPr>
                <w:color w:val="000000"/>
                <w:sz w:val="24"/>
                <w:szCs w:val="24"/>
                <w:lang w:eastAsia="en-US"/>
              </w:rPr>
              <w:t>N/A</w:t>
            </w:r>
          </w:p>
        </w:tc>
      </w:tr>
    </w:tbl>
    <w:p w14:paraId="48985393" w14:textId="03984877" w:rsidR="002248E8" w:rsidRPr="00F37584" w:rsidRDefault="000D5210" w:rsidP="00F6021D">
      <w:pPr>
        <w:pStyle w:val="Heading1"/>
        <w:rPr>
          <w:b/>
        </w:rPr>
      </w:pPr>
      <w:r>
        <w:t>Project D</w:t>
      </w:r>
      <w:r w:rsidR="00EE1E6E" w:rsidRPr="00F37584">
        <w:t>escription</w:t>
      </w:r>
    </w:p>
    <w:p w14:paraId="38ECF6A8" w14:textId="779258B7" w:rsidR="00CB4B5D" w:rsidRPr="00F37584" w:rsidRDefault="002F33D4" w:rsidP="00F6021D">
      <w:pPr>
        <w:pStyle w:val="NormalWeb"/>
        <w:spacing w:before="0" w:beforeAutospacing="0" w:after="120" w:afterAutospacing="0"/>
        <w:jc w:val="both"/>
        <w:textAlignment w:val="baseline"/>
        <w:rPr>
          <w:bdr w:val="none" w:sz="0" w:space="0" w:color="auto" w:frame="1"/>
        </w:rPr>
      </w:pPr>
      <w:r w:rsidRPr="00F37584">
        <w:t>Ikamva Youth aims to increase the collective skill level of the population, grow the national knowledge base, and replicate success in more communities. </w:t>
      </w:r>
      <w:r w:rsidRPr="00F37584">
        <w:rPr>
          <w:bdr w:val="none" w:sz="0" w:space="0" w:color="auto" w:frame="1"/>
        </w:rPr>
        <w:t>Ikamva</w:t>
      </w:r>
      <w:r w:rsidR="00CB4B5D" w:rsidRPr="00F37584">
        <w:rPr>
          <w:bdr w:val="none" w:sz="0" w:space="0" w:color="auto" w:frame="1"/>
        </w:rPr>
        <w:t xml:space="preserve"> </w:t>
      </w:r>
      <w:r w:rsidRPr="00F37584">
        <w:rPr>
          <w:bdr w:val="none" w:sz="0" w:space="0" w:color="auto" w:frame="1"/>
        </w:rPr>
        <w:t>Youth works with learners from township-based secondary schools to help them improve their grades, access quality post-school opportunities</w:t>
      </w:r>
      <w:r w:rsidR="00000B92">
        <w:rPr>
          <w:bdr w:val="none" w:sz="0" w:space="0" w:color="auto" w:frame="1"/>
        </w:rPr>
        <w:t>,</w:t>
      </w:r>
      <w:r w:rsidRPr="00F37584">
        <w:rPr>
          <w:bdr w:val="none" w:sz="0" w:space="0" w:color="auto" w:frame="1"/>
        </w:rPr>
        <w:t xml:space="preserve"> and return to help others do the same. Ikamva</w:t>
      </w:r>
      <w:r w:rsidR="00413C96">
        <w:rPr>
          <w:bdr w:val="none" w:sz="0" w:space="0" w:color="auto" w:frame="1"/>
        </w:rPr>
        <w:t xml:space="preserve"> </w:t>
      </w:r>
      <w:r w:rsidRPr="00F37584">
        <w:rPr>
          <w:bdr w:val="none" w:sz="0" w:space="0" w:color="auto" w:frame="1"/>
        </w:rPr>
        <w:t>Youth accepts learners based on their motivation to participate, as opposed to their academic results; most learn</w:t>
      </w:r>
      <w:r w:rsidR="00000B92">
        <w:rPr>
          <w:bdr w:val="none" w:sz="0" w:space="0" w:color="auto" w:frame="1"/>
        </w:rPr>
        <w:t>ers have averages well below 50 percent when they join, for instance.</w:t>
      </w:r>
    </w:p>
    <w:p w14:paraId="2503E0B8" w14:textId="5D857F69" w:rsidR="002F33D4" w:rsidRPr="00F37584" w:rsidRDefault="00CB4B5D" w:rsidP="00F6021D">
      <w:pPr>
        <w:pStyle w:val="NormalWeb"/>
        <w:spacing w:before="0" w:beforeAutospacing="0" w:after="120" w:afterAutospacing="0"/>
        <w:jc w:val="both"/>
        <w:textAlignment w:val="baseline"/>
        <w:rPr>
          <w:bdr w:val="none" w:sz="0" w:space="0" w:color="auto" w:frame="1"/>
        </w:rPr>
      </w:pPr>
      <w:r w:rsidRPr="00F37584">
        <w:t xml:space="preserve">Ikamva Youth currently operates with branches in five </w:t>
      </w:r>
      <w:r w:rsidR="00000B92" w:rsidRPr="00F37584">
        <w:t>South Africa</w:t>
      </w:r>
      <w:r w:rsidR="00000B92">
        <w:t>n</w:t>
      </w:r>
      <w:r w:rsidR="00000B92" w:rsidRPr="00F37584">
        <w:t xml:space="preserve"> </w:t>
      </w:r>
      <w:r w:rsidRPr="00F37584">
        <w:t>provinces</w:t>
      </w:r>
      <w:r w:rsidR="00000B92">
        <w:t xml:space="preserve">: </w:t>
      </w:r>
      <w:r w:rsidRPr="00F37584">
        <w:t>Western Cape,</w:t>
      </w:r>
      <w:r w:rsidR="00000B92">
        <w:t xml:space="preserve"> Gauteng, KwaZulu-Natal, Northwest, </w:t>
      </w:r>
      <w:r w:rsidRPr="00F37584">
        <w:t xml:space="preserve">and Eastern Cape. </w:t>
      </w:r>
      <w:r w:rsidR="002F33D4" w:rsidRPr="00F37584">
        <w:t xml:space="preserve">They operate </w:t>
      </w:r>
      <w:r w:rsidRPr="00F37584">
        <w:t>17 centers in total</w:t>
      </w:r>
      <w:r w:rsidR="002F33D4" w:rsidRPr="00F37584">
        <w:t xml:space="preserve">, with 14 computer labs </w:t>
      </w:r>
      <w:r w:rsidR="008F20D9">
        <w:t>featuring</w:t>
      </w:r>
      <w:r w:rsidR="002F33D4" w:rsidRPr="00F37584">
        <w:t xml:space="preserve"> 25 computers each. While learners enroll at Ikamva Yout</w:t>
      </w:r>
      <w:r w:rsidR="008F20D9">
        <w:t xml:space="preserve">h when they are in grades 9, 10, </w:t>
      </w:r>
      <w:r w:rsidR="002F33D4" w:rsidRPr="00F37584">
        <w:t>and 11, the program</w:t>
      </w:r>
      <w:r w:rsidR="00413C96">
        <w:t>’</w:t>
      </w:r>
      <w:r w:rsidR="002F33D4" w:rsidRPr="00F37584">
        <w:t xml:space="preserve">s success is ultimately determined by the number </w:t>
      </w:r>
      <w:r w:rsidR="002F33D4" w:rsidRPr="00F37584">
        <w:lastRenderedPageBreak/>
        <w:t>of grade 12 learners who access tertiary institutions and/or employment-based learning oppor</w:t>
      </w:r>
      <w:r w:rsidR="008F20D9">
        <w:t>tunities when they matriculate.</w:t>
      </w:r>
    </w:p>
    <w:p w14:paraId="37B71FA7" w14:textId="219278CE" w:rsidR="009665C1" w:rsidRPr="00F37584" w:rsidRDefault="003F5D58" w:rsidP="00F6021D">
      <w:pPr>
        <w:widowControl w:val="0"/>
        <w:autoSpaceDE w:val="0"/>
        <w:autoSpaceDN w:val="0"/>
        <w:adjustRightInd w:val="0"/>
        <w:spacing w:after="120"/>
        <w:jc w:val="both"/>
      </w:pPr>
      <w:r w:rsidRPr="00F37584">
        <w:t>Ikamva</w:t>
      </w:r>
      <w:r w:rsidR="00413C96">
        <w:t xml:space="preserve"> </w:t>
      </w:r>
      <w:r w:rsidRPr="00F37584">
        <w:t>Youth</w:t>
      </w:r>
      <w:r w:rsidR="00413C96">
        <w:t>’</w:t>
      </w:r>
      <w:r w:rsidRPr="00F37584">
        <w:t>s s</w:t>
      </w:r>
      <w:r w:rsidR="00947E9F" w:rsidRPr="00F37584">
        <w:t xml:space="preserve">ervices are </w:t>
      </w:r>
      <w:r w:rsidR="008324D6" w:rsidRPr="00F37584">
        <w:t xml:space="preserve">free for </w:t>
      </w:r>
      <w:r w:rsidRPr="00F37584">
        <w:t>the participants</w:t>
      </w:r>
      <w:r w:rsidR="00947E9F" w:rsidRPr="00F37584">
        <w:t xml:space="preserve">. </w:t>
      </w:r>
      <w:r w:rsidR="009665C1" w:rsidRPr="00F37584">
        <w:t xml:space="preserve">Those programs include Internet access and </w:t>
      </w:r>
      <w:r w:rsidR="008F20D9" w:rsidRPr="00F37584">
        <w:t>Internet</w:t>
      </w:r>
      <w:r w:rsidR="00947E9F" w:rsidRPr="00F37584">
        <w:t xml:space="preserve"> </w:t>
      </w:r>
      <w:r w:rsidR="009665C1" w:rsidRPr="00F37584">
        <w:t xml:space="preserve">and computer literacy training. They </w:t>
      </w:r>
      <w:r w:rsidR="008F20D9">
        <w:t>offer</w:t>
      </w:r>
      <w:r w:rsidR="009665C1" w:rsidRPr="00F37584">
        <w:t xml:space="preserve"> open </w:t>
      </w:r>
      <w:r w:rsidR="00000B92" w:rsidRPr="00F37584">
        <w:t>Internet</w:t>
      </w:r>
      <w:r w:rsidR="009665C1" w:rsidRPr="00F37584">
        <w:t xml:space="preserve"> access, with the exception that some </w:t>
      </w:r>
      <w:r w:rsidR="008F20D9">
        <w:t>web</w:t>
      </w:r>
      <w:r w:rsidR="009665C1" w:rsidRPr="00F37584">
        <w:t>sites are blocked for educational purposes (e.g.</w:t>
      </w:r>
      <w:r w:rsidR="008F20D9">
        <w:t>, pornographic websites</w:t>
      </w:r>
      <w:r w:rsidR="009665C1" w:rsidRPr="00F37584">
        <w:t>). They partner with Computers for Kids to generate the training curriculum. The training programs focus on supplementary tutoring and homework sessions, career guidance, mentoring, computer litera</w:t>
      </w:r>
      <w:r w:rsidR="00535161">
        <w:t xml:space="preserve">cy and access, the Media, Image, and Expression program – which </w:t>
      </w:r>
      <w:r w:rsidR="009665C1" w:rsidRPr="00F37584">
        <w:t xml:space="preserve">enables learners to express themselves creatively and assertively </w:t>
      </w:r>
      <w:r w:rsidR="00535161">
        <w:t xml:space="preserve">as well as build their self-esteem – </w:t>
      </w:r>
      <w:r w:rsidR="009665C1" w:rsidRPr="00F37584">
        <w:t xml:space="preserve">and the </w:t>
      </w:r>
      <w:r w:rsidR="009665C1" w:rsidRPr="00F37584">
        <w:rPr>
          <w:rFonts w:eastAsia="Times New Roman"/>
        </w:rPr>
        <w:t xml:space="preserve">Health and Leadership program that ensures HIV/AIDS, </w:t>
      </w:r>
      <w:r w:rsidR="00413C96" w:rsidRPr="00F37584">
        <w:rPr>
          <w:rFonts w:eastAsia="Times New Roman"/>
        </w:rPr>
        <w:t>nutrition</w:t>
      </w:r>
      <w:r w:rsidR="00535161">
        <w:rPr>
          <w:rFonts w:eastAsia="Times New Roman"/>
        </w:rPr>
        <w:t>, a</w:t>
      </w:r>
      <w:r w:rsidR="009665C1" w:rsidRPr="00F37584">
        <w:rPr>
          <w:rFonts w:eastAsia="Times New Roman"/>
        </w:rPr>
        <w:t xml:space="preserve">nd broader health awareness and voluntary testing provides learners with the information and </w:t>
      </w:r>
      <w:r w:rsidR="00625556">
        <w:rPr>
          <w:rFonts w:eastAsia="Times New Roman"/>
        </w:rPr>
        <w:t>v</w:t>
      </w:r>
      <w:r w:rsidR="00625556" w:rsidRPr="00625556">
        <w:rPr>
          <w:rFonts w:eastAsia="Times New Roman"/>
        </w:rPr>
        <w:t xml:space="preserve">oluntary counseling and testing (VCT) </w:t>
      </w:r>
      <w:r w:rsidR="009665C1" w:rsidRPr="00F37584">
        <w:rPr>
          <w:rFonts w:eastAsia="Times New Roman"/>
        </w:rPr>
        <w:t>services they need to manage their health.</w:t>
      </w:r>
      <w:r w:rsidR="009665C1" w:rsidRPr="00F37584">
        <w:t xml:space="preserve"> </w:t>
      </w:r>
      <w:r w:rsidR="00625556">
        <w:t>Training lasts for three hours per</w:t>
      </w:r>
      <w:r w:rsidR="008324D6" w:rsidRPr="00F37584">
        <w:t xml:space="preserve"> week over </w:t>
      </w:r>
      <w:r w:rsidR="00625556">
        <w:t>the course of six</w:t>
      </w:r>
      <w:r w:rsidR="008324D6" w:rsidRPr="00F37584">
        <w:t xml:space="preserve"> months</w:t>
      </w:r>
      <w:r w:rsidR="00625556">
        <w:t>,</w:t>
      </w:r>
      <w:r w:rsidR="00947E9F" w:rsidRPr="00F37584">
        <w:t xml:space="preserve"> and is conducted after school, on weekends, and during school holidays.</w:t>
      </w:r>
    </w:p>
    <w:p w14:paraId="529882FB" w14:textId="30394ED8" w:rsidR="002F33D4" w:rsidRDefault="002F33D4" w:rsidP="00F6021D">
      <w:pPr>
        <w:widowControl w:val="0"/>
        <w:autoSpaceDE w:val="0"/>
        <w:autoSpaceDN w:val="0"/>
        <w:adjustRightInd w:val="0"/>
        <w:spacing w:after="120"/>
        <w:jc w:val="both"/>
      </w:pPr>
      <w:r w:rsidRPr="00F37584">
        <w:t xml:space="preserve">The Ikamva Youth model draws from a large and growing pool of volunteers made up of students from nearby universities and local professionals. </w:t>
      </w:r>
      <w:r w:rsidR="0012793E">
        <w:t>Additionally, e</w:t>
      </w:r>
      <w:r w:rsidR="00FF533D">
        <w:t>x-learners who gain en</w:t>
      </w:r>
      <w:r w:rsidR="00FF533D" w:rsidRPr="00F37584">
        <w:t>trance to tertiary institutions and return to tutor drive the organization’s sustainability</w:t>
      </w:r>
      <w:r w:rsidRPr="00F37584">
        <w:t xml:space="preserve">. More than half of the volunteers at longer-established branches are </w:t>
      </w:r>
      <w:r w:rsidR="0012793E">
        <w:t xml:space="preserve">ex-learners, </w:t>
      </w:r>
      <w:r w:rsidRPr="00F37584">
        <w:t xml:space="preserve">and </w:t>
      </w:r>
      <w:r w:rsidR="0012793E">
        <w:t>more than 80 percent</w:t>
      </w:r>
      <w:r w:rsidRPr="00F37584">
        <w:t xml:space="preserve"> of the Khayelitsha</w:t>
      </w:r>
      <w:r w:rsidR="0012793E">
        <w:t xml:space="preserve"> management committee comprises of </w:t>
      </w:r>
      <w:r w:rsidRPr="00F37584">
        <w:t xml:space="preserve">ex-beneficiaries. </w:t>
      </w:r>
      <w:r w:rsidR="0012793E">
        <w:t xml:space="preserve">Thus, </w:t>
      </w:r>
      <w:r w:rsidRPr="00F37584">
        <w:t>Ikamva</w:t>
      </w:r>
      <w:r w:rsidR="00413C96">
        <w:t xml:space="preserve"> </w:t>
      </w:r>
      <w:r w:rsidRPr="00F37584">
        <w:t>Youth provides the additional advantage of allowing ex-Ikamva</w:t>
      </w:r>
      <w:r w:rsidR="00413C96">
        <w:t xml:space="preserve"> </w:t>
      </w:r>
      <w:r w:rsidRPr="00F37584">
        <w:t xml:space="preserve">Youth learners to be agents of change, </w:t>
      </w:r>
      <w:r w:rsidR="0012793E">
        <w:t>from beneficiary to benefactor.</w:t>
      </w:r>
    </w:p>
    <w:p w14:paraId="0420A52C" w14:textId="10ED80BE" w:rsidR="000D5210" w:rsidRDefault="000D5210" w:rsidP="00F37584">
      <w:pPr>
        <w:widowControl w:val="0"/>
        <w:autoSpaceDE w:val="0"/>
        <w:autoSpaceDN w:val="0"/>
        <w:adjustRightInd w:val="0"/>
        <w:jc w:val="both"/>
      </w:pPr>
    </w:p>
    <w:tbl>
      <w:tblPr>
        <w:tblStyle w:val="GridTable6Colorful2"/>
        <w:tblW w:w="9472" w:type="dxa"/>
        <w:tblLayout w:type="fixed"/>
        <w:tblCellMar>
          <w:top w:w="101" w:type="dxa"/>
          <w:left w:w="0" w:type="dxa"/>
          <w:bottom w:w="101" w:type="dxa"/>
          <w:right w:w="0" w:type="dxa"/>
        </w:tblCellMar>
        <w:tblLook w:val="04A0" w:firstRow="1" w:lastRow="0" w:firstColumn="1" w:lastColumn="0" w:noHBand="0" w:noVBand="1"/>
      </w:tblPr>
      <w:tblGrid>
        <w:gridCol w:w="1985"/>
        <w:gridCol w:w="2520"/>
        <w:gridCol w:w="1800"/>
        <w:gridCol w:w="3167"/>
      </w:tblGrid>
      <w:tr w:rsidR="00F6021D" w:rsidRPr="00F6021D" w14:paraId="46BDEB19" w14:textId="77777777" w:rsidTr="00F6021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72" w:type="dxa"/>
            <w:gridSpan w:val="4"/>
            <w:shd w:val="clear" w:color="auto" w:fill="auto"/>
            <w:vAlign w:val="center"/>
          </w:tcPr>
          <w:p w14:paraId="5B04159C" w14:textId="5A4550CA" w:rsidR="00F6021D" w:rsidRPr="00F6021D" w:rsidRDefault="00F6021D" w:rsidP="00F6021D">
            <w:pPr>
              <w:jc w:val="center"/>
              <w:rPr>
                <w:color w:val="auto"/>
                <w:sz w:val="24"/>
                <w:lang w:eastAsia="en-US"/>
              </w:rPr>
            </w:pPr>
            <w:r w:rsidRPr="00F6021D">
              <w:rPr>
                <w:color w:val="auto"/>
                <w:sz w:val="24"/>
                <w:lang w:eastAsia="en-US"/>
              </w:rPr>
              <w:t>Project details</w:t>
            </w:r>
          </w:p>
        </w:tc>
      </w:tr>
      <w:tr w:rsidR="00F6021D" w:rsidRPr="00F6021D" w14:paraId="7FBE0794" w14:textId="77777777" w:rsidTr="002E627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7EF0E75C" w14:textId="1A24D7FD" w:rsidR="00F6021D" w:rsidRPr="00F6021D" w:rsidRDefault="00F6021D" w:rsidP="00F6021D">
            <w:pPr>
              <w:jc w:val="center"/>
              <w:rPr>
                <w:color w:val="auto"/>
                <w:sz w:val="24"/>
                <w:lang w:eastAsia="en-US"/>
              </w:rPr>
            </w:pPr>
            <w:r w:rsidRPr="00F6021D">
              <w:rPr>
                <w:color w:val="auto"/>
                <w:sz w:val="24"/>
                <w:lang w:eastAsia="en-US"/>
              </w:rPr>
              <w:t>Technology</w:t>
            </w:r>
          </w:p>
        </w:tc>
        <w:tc>
          <w:tcPr>
            <w:tcW w:w="2520" w:type="dxa"/>
            <w:shd w:val="clear" w:color="auto" w:fill="auto"/>
            <w:vAlign w:val="center"/>
          </w:tcPr>
          <w:p w14:paraId="7AE8A6FC" w14:textId="788C6EAB" w:rsidR="00F6021D" w:rsidRPr="00F6021D" w:rsidRDefault="002E6279" w:rsidP="00F6021D">
            <w:pPr>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4"/>
              </w:rPr>
            </w:pPr>
            <w:r>
              <w:rPr>
                <w:sz w:val="24"/>
              </w:rPr>
              <w:t>Basic Internet</w:t>
            </w:r>
            <w:r w:rsidR="00F6021D" w:rsidRPr="00F6021D">
              <w:rPr>
                <w:sz w:val="24"/>
              </w:rPr>
              <w:t xml:space="preserve"> </w:t>
            </w:r>
            <w:r>
              <w:rPr>
                <w:sz w:val="24"/>
              </w:rPr>
              <w:t>training</w:t>
            </w:r>
          </w:p>
        </w:tc>
        <w:tc>
          <w:tcPr>
            <w:tcW w:w="1800" w:type="dxa"/>
            <w:shd w:val="clear" w:color="auto" w:fill="auto"/>
            <w:vAlign w:val="center"/>
          </w:tcPr>
          <w:p w14:paraId="4A5B0769" w14:textId="693C9121" w:rsidR="00F6021D" w:rsidRPr="00F6021D" w:rsidRDefault="00F6021D" w:rsidP="00F6021D">
            <w:pPr>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F6021D">
              <w:rPr>
                <w:b/>
                <w:color w:val="auto"/>
                <w:sz w:val="24"/>
              </w:rPr>
              <w:t>Training</w:t>
            </w:r>
          </w:p>
        </w:tc>
        <w:tc>
          <w:tcPr>
            <w:tcW w:w="3167" w:type="dxa"/>
            <w:shd w:val="clear" w:color="auto" w:fill="auto"/>
            <w:vAlign w:val="center"/>
          </w:tcPr>
          <w:p w14:paraId="21381659" w14:textId="36583B16" w:rsidR="00F6021D" w:rsidRPr="00F6021D" w:rsidRDefault="00F6021D" w:rsidP="00F6021D">
            <w:pPr>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F6021D">
              <w:rPr>
                <w:color w:val="auto"/>
                <w:sz w:val="24"/>
              </w:rPr>
              <w:t>3 hours per week over 6 months</w:t>
            </w:r>
          </w:p>
        </w:tc>
      </w:tr>
      <w:tr w:rsidR="00F6021D" w:rsidRPr="00F6021D" w14:paraId="35D0C697" w14:textId="77777777" w:rsidTr="002E6279">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835C243" w14:textId="102D7001" w:rsidR="00F6021D" w:rsidRPr="00F6021D" w:rsidRDefault="00F6021D" w:rsidP="00F6021D">
            <w:pPr>
              <w:jc w:val="center"/>
              <w:rPr>
                <w:color w:val="auto"/>
                <w:sz w:val="24"/>
                <w:lang w:eastAsia="en-US"/>
              </w:rPr>
            </w:pPr>
            <w:r w:rsidRPr="00F6021D">
              <w:rPr>
                <w:color w:val="auto"/>
                <w:sz w:val="24"/>
              </w:rPr>
              <w:t>Year program started</w:t>
            </w:r>
          </w:p>
        </w:tc>
        <w:tc>
          <w:tcPr>
            <w:tcW w:w="2520" w:type="dxa"/>
            <w:shd w:val="clear" w:color="auto" w:fill="auto"/>
            <w:vAlign w:val="center"/>
          </w:tcPr>
          <w:p w14:paraId="016A43CF" w14:textId="1CAF8CF9" w:rsidR="00F6021D" w:rsidRPr="00F6021D" w:rsidRDefault="00F6021D" w:rsidP="00F6021D">
            <w:pPr>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lang w:eastAsia="en-US"/>
              </w:rPr>
            </w:pPr>
            <w:r w:rsidRPr="00F6021D">
              <w:rPr>
                <w:color w:val="auto"/>
                <w:sz w:val="24"/>
                <w:lang w:eastAsia="en-US"/>
              </w:rPr>
              <w:t>2004</w:t>
            </w:r>
          </w:p>
        </w:tc>
        <w:tc>
          <w:tcPr>
            <w:tcW w:w="1800" w:type="dxa"/>
            <w:shd w:val="clear" w:color="auto" w:fill="auto"/>
            <w:vAlign w:val="center"/>
          </w:tcPr>
          <w:p w14:paraId="64B809E7" w14:textId="63746481" w:rsidR="00F6021D" w:rsidRPr="00F6021D" w:rsidRDefault="00F6021D" w:rsidP="00F6021D">
            <w:pPr>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F6021D">
              <w:rPr>
                <w:b/>
                <w:color w:val="auto"/>
                <w:sz w:val="24"/>
                <w:lang w:eastAsia="en-US"/>
              </w:rPr>
              <w:t>Cost to users</w:t>
            </w:r>
          </w:p>
        </w:tc>
        <w:tc>
          <w:tcPr>
            <w:tcW w:w="3167" w:type="dxa"/>
            <w:shd w:val="clear" w:color="auto" w:fill="auto"/>
            <w:vAlign w:val="center"/>
          </w:tcPr>
          <w:p w14:paraId="0360DB7C" w14:textId="0340858E" w:rsidR="00F6021D" w:rsidRPr="00F6021D" w:rsidRDefault="00F6021D" w:rsidP="00F6021D">
            <w:pPr>
              <w:jc w:val="center"/>
              <w:cnfStyle w:val="000000000000" w:firstRow="0" w:lastRow="0" w:firstColumn="0" w:lastColumn="0" w:oddVBand="0" w:evenVBand="0" w:oddHBand="0" w:evenHBand="0" w:firstRowFirstColumn="0" w:firstRowLastColumn="0" w:lastRowFirstColumn="0" w:lastRowLastColumn="0"/>
              <w:rPr>
                <w:color w:val="auto"/>
                <w:sz w:val="24"/>
              </w:rPr>
            </w:pPr>
            <w:r w:rsidRPr="00F6021D">
              <w:rPr>
                <w:color w:val="auto"/>
                <w:sz w:val="24"/>
                <w:lang w:eastAsia="en-US"/>
              </w:rPr>
              <w:t>Free</w:t>
            </w:r>
          </w:p>
        </w:tc>
      </w:tr>
      <w:tr w:rsidR="00F6021D" w:rsidRPr="00F6021D" w14:paraId="26C6D335" w14:textId="77777777" w:rsidTr="002E627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255F5E95" w14:textId="36722A46" w:rsidR="00F6021D" w:rsidRPr="00F6021D" w:rsidRDefault="00F6021D" w:rsidP="00F6021D">
            <w:pPr>
              <w:jc w:val="center"/>
              <w:rPr>
                <w:color w:val="auto"/>
                <w:sz w:val="24"/>
                <w:lang w:eastAsia="en-US"/>
              </w:rPr>
            </w:pPr>
            <w:r w:rsidRPr="00F6021D">
              <w:rPr>
                <w:color w:val="auto"/>
                <w:sz w:val="24"/>
                <w:lang w:eastAsia="en-US"/>
              </w:rPr>
              <w:t>Geography</w:t>
            </w:r>
          </w:p>
        </w:tc>
        <w:tc>
          <w:tcPr>
            <w:tcW w:w="2520" w:type="dxa"/>
            <w:shd w:val="clear" w:color="auto" w:fill="auto"/>
            <w:vAlign w:val="center"/>
          </w:tcPr>
          <w:p w14:paraId="56BC37CB" w14:textId="54CC8A6F" w:rsidR="00F6021D" w:rsidRPr="00F6021D" w:rsidRDefault="00F6021D" w:rsidP="00F6021D">
            <w:pPr>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F6021D">
              <w:rPr>
                <w:sz w:val="24"/>
              </w:rPr>
              <w:t>5 provinces of South Africa</w:t>
            </w:r>
            <w:r w:rsidRPr="00F6021D">
              <w:rPr>
                <w:rFonts w:eastAsia="Times New Roman"/>
                <w:color w:val="auto"/>
                <w:sz w:val="24"/>
                <w:lang w:eastAsia="en-US"/>
              </w:rPr>
              <w:t>: Western Cape, Gauteng, KwaZulu-Natal, Northwest, and the Eastern Cape</w:t>
            </w:r>
          </w:p>
        </w:tc>
        <w:tc>
          <w:tcPr>
            <w:tcW w:w="1800" w:type="dxa"/>
            <w:shd w:val="clear" w:color="auto" w:fill="auto"/>
            <w:vAlign w:val="center"/>
          </w:tcPr>
          <w:p w14:paraId="0DB55365" w14:textId="6B33E865" w:rsidR="00F6021D" w:rsidRPr="00F6021D" w:rsidRDefault="00F6021D" w:rsidP="00F6021D">
            <w:pPr>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F6021D">
              <w:rPr>
                <w:b/>
                <w:color w:val="auto"/>
                <w:sz w:val="24"/>
              </w:rPr>
              <w:t>Total cost of program</w:t>
            </w:r>
          </w:p>
        </w:tc>
        <w:tc>
          <w:tcPr>
            <w:tcW w:w="3167" w:type="dxa"/>
            <w:shd w:val="clear" w:color="auto" w:fill="auto"/>
            <w:vAlign w:val="center"/>
          </w:tcPr>
          <w:p w14:paraId="771CE8AB" w14:textId="16E1F016" w:rsidR="00F6021D" w:rsidRPr="00F6021D" w:rsidRDefault="00F6021D" w:rsidP="00F6021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eastAsiaTheme="minorHAnsi" w:hAnsi="Helvetica" w:cs="Helvetica"/>
                <w:color w:val="auto"/>
                <w:sz w:val="24"/>
                <w:szCs w:val="26"/>
                <w:lang w:eastAsia="en-US"/>
              </w:rPr>
            </w:pPr>
            <w:r w:rsidRPr="00F6021D">
              <w:rPr>
                <w:rFonts w:eastAsiaTheme="minorHAnsi"/>
                <w:color w:val="auto"/>
                <w:sz w:val="24"/>
                <w:lang w:eastAsia="en-US"/>
              </w:rPr>
              <w:t xml:space="preserve">Fixed cost: 10,000 rand (US$ 843.50) to 500,000 rand (US$ 42,175) </w:t>
            </w:r>
          </w:p>
          <w:p w14:paraId="004D0BB5" w14:textId="2FB7E4B7" w:rsidR="00F6021D" w:rsidRPr="00F6021D" w:rsidRDefault="00F6021D" w:rsidP="00F6021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Theme="minorHAnsi"/>
                <w:color w:val="auto"/>
                <w:sz w:val="24"/>
                <w:lang w:eastAsia="en-US"/>
              </w:rPr>
            </w:pPr>
            <w:r w:rsidRPr="00F6021D">
              <w:rPr>
                <w:rFonts w:eastAsiaTheme="minorHAnsi"/>
                <w:color w:val="auto"/>
                <w:sz w:val="24"/>
                <w:lang w:eastAsia="en-US"/>
              </w:rPr>
              <w:t>Operational cost (monthly): 5,000 rand</w:t>
            </w:r>
            <w:r>
              <w:rPr>
                <w:rFonts w:eastAsiaTheme="minorHAnsi"/>
                <w:color w:val="auto"/>
                <w:sz w:val="24"/>
                <w:lang w:eastAsia="en-US"/>
              </w:rPr>
              <w:t xml:space="preserve"> (US$ 420)</w:t>
            </w:r>
            <w:r w:rsidRPr="00F6021D">
              <w:rPr>
                <w:rFonts w:eastAsiaTheme="minorHAnsi"/>
                <w:color w:val="auto"/>
                <w:sz w:val="24"/>
                <w:lang w:eastAsia="en-US"/>
              </w:rPr>
              <w:t xml:space="preserve"> for training, 4,000 rand per year</w:t>
            </w:r>
            <w:r>
              <w:rPr>
                <w:rFonts w:eastAsiaTheme="minorHAnsi"/>
                <w:color w:val="auto"/>
                <w:sz w:val="24"/>
                <w:lang w:eastAsia="en-US"/>
              </w:rPr>
              <w:t xml:space="preserve"> (US$ 380)</w:t>
            </w:r>
            <w:r w:rsidRPr="00F6021D">
              <w:rPr>
                <w:rFonts w:eastAsiaTheme="minorHAnsi"/>
                <w:color w:val="auto"/>
                <w:sz w:val="24"/>
                <w:lang w:eastAsia="en-US"/>
              </w:rPr>
              <w:t xml:space="preserve"> for the licensing fee, 1,500 rand</w:t>
            </w:r>
            <w:r>
              <w:rPr>
                <w:rFonts w:eastAsiaTheme="minorHAnsi"/>
                <w:color w:val="auto"/>
                <w:sz w:val="24"/>
                <w:lang w:eastAsia="en-US"/>
              </w:rPr>
              <w:t xml:space="preserve"> (US$ </w:t>
            </w:r>
            <w:r w:rsidR="002E6279">
              <w:rPr>
                <w:rFonts w:eastAsiaTheme="minorHAnsi"/>
                <w:color w:val="auto"/>
                <w:sz w:val="24"/>
                <w:lang w:eastAsia="en-US"/>
              </w:rPr>
              <w:t>100)</w:t>
            </w:r>
            <w:r w:rsidRPr="00F6021D">
              <w:rPr>
                <w:rFonts w:eastAsiaTheme="minorHAnsi"/>
                <w:color w:val="auto"/>
                <w:sz w:val="24"/>
                <w:lang w:eastAsia="en-US"/>
              </w:rPr>
              <w:t xml:space="preserve"> for data, and </w:t>
            </w:r>
            <w:r>
              <w:rPr>
                <w:rFonts w:eastAsiaTheme="minorHAnsi"/>
                <w:color w:val="auto"/>
                <w:sz w:val="24"/>
                <w:lang w:eastAsia="en-US"/>
              </w:rPr>
              <w:t>10,000 rand (US$ 843.5) --</w:t>
            </w:r>
            <w:r w:rsidRPr="00F6021D">
              <w:rPr>
                <w:rFonts w:eastAsiaTheme="minorHAnsi"/>
                <w:color w:val="auto"/>
                <w:sz w:val="24"/>
                <w:lang w:eastAsia="en-US"/>
              </w:rPr>
              <w:t xml:space="preserve"> 1 data center</w:t>
            </w:r>
          </w:p>
        </w:tc>
      </w:tr>
      <w:tr w:rsidR="00F6021D" w:rsidRPr="00F6021D" w14:paraId="4B577657" w14:textId="77777777" w:rsidTr="002E6279">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4A1516D" w14:textId="5A16123D" w:rsidR="00F6021D" w:rsidRPr="00F6021D" w:rsidRDefault="00F6021D" w:rsidP="00F6021D">
            <w:pPr>
              <w:jc w:val="center"/>
              <w:rPr>
                <w:color w:val="auto"/>
                <w:sz w:val="24"/>
                <w:lang w:eastAsia="en-US"/>
              </w:rPr>
            </w:pPr>
            <w:r w:rsidRPr="00F6021D">
              <w:rPr>
                <w:color w:val="auto"/>
                <w:sz w:val="24"/>
              </w:rPr>
              <w:t>User profile</w:t>
            </w:r>
          </w:p>
        </w:tc>
        <w:tc>
          <w:tcPr>
            <w:tcW w:w="2520" w:type="dxa"/>
            <w:shd w:val="clear" w:color="auto" w:fill="auto"/>
            <w:vAlign w:val="center"/>
          </w:tcPr>
          <w:p w14:paraId="2BBD9B2A" w14:textId="12F0C6FD" w:rsidR="00F6021D" w:rsidRPr="00F6021D" w:rsidRDefault="00F6021D" w:rsidP="00F6021D">
            <w:pPr>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F6021D">
              <w:rPr>
                <w:color w:val="auto"/>
                <w:sz w:val="24"/>
                <w:lang w:eastAsia="en-US"/>
              </w:rPr>
              <w:t>Students in grades 9-12</w:t>
            </w:r>
          </w:p>
        </w:tc>
        <w:tc>
          <w:tcPr>
            <w:tcW w:w="1800" w:type="dxa"/>
            <w:shd w:val="clear" w:color="auto" w:fill="auto"/>
            <w:vAlign w:val="center"/>
          </w:tcPr>
          <w:p w14:paraId="23F6688F" w14:textId="7062D425" w:rsidR="00F6021D" w:rsidRPr="00F6021D" w:rsidRDefault="00F6021D" w:rsidP="00F6021D">
            <w:pPr>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F6021D">
              <w:rPr>
                <w:b/>
                <w:color w:val="auto"/>
                <w:sz w:val="24"/>
              </w:rPr>
              <w:t>Associated organizations</w:t>
            </w:r>
          </w:p>
        </w:tc>
        <w:tc>
          <w:tcPr>
            <w:tcW w:w="3167" w:type="dxa"/>
            <w:shd w:val="clear" w:color="auto" w:fill="auto"/>
            <w:vAlign w:val="center"/>
          </w:tcPr>
          <w:p w14:paraId="3F1608AC" w14:textId="6C3B8741" w:rsidR="00F6021D" w:rsidRPr="00F6021D" w:rsidRDefault="00F6021D" w:rsidP="00F6021D">
            <w:pPr>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F6021D">
              <w:rPr>
                <w:color w:val="auto"/>
                <w:sz w:val="24"/>
                <w:lang w:eastAsia="en-US"/>
              </w:rPr>
              <w:t>Computers for Kids</w:t>
            </w:r>
          </w:p>
        </w:tc>
      </w:tr>
    </w:tbl>
    <w:p w14:paraId="5EA84BF5" w14:textId="48A2CC9D" w:rsidR="00286CB9" w:rsidRPr="00F37584" w:rsidRDefault="006C06AF" w:rsidP="00F6021D">
      <w:pPr>
        <w:pStyle w:val="Heading1"/>
        <w:rPr>
          <w:b/>
        </w:rPr>
      </w:pPr>
      <w:r>
        <w:t>Progress and R</w:t>
      </w:r>
      <w:r w:rsidRPr="00F37584">
        <w:t>esults</w:t>
      </w:r>
    </w:p>
    <w:p w14:paraId="315723C2" w14:textId="051616FB" w:rsidR="00E21D39" w:rsidRPr="00F37584" w:rsidRDefault="00E21D39" w:rsidP="002E6279">
      <w:pPr>
        <w:pStyle w:val="NormalWeb"/>
        <w:spacing w:before="0" w:beforeAutospacing="0" w:after="120" w:afterAutospacing="0"/>
        <w:jc w:val="both"/>
        <w:textAlignment w:val="baseline"/>
        <w:rPr>
          <w:bdr w:val="none" w:sz="0" w:space="0" w:color="auto" w:frame="1"/>
        </w:rPr>
      </w:pPr>
      <w:r w:rsidRPr="00F37584">
        <w:rPr>
          <w:bdr w:val="none" w:sz="0" w:space="0" w:color="auto" w:frame="1"/>
        </w:rPr>
        <w:t>Since 2004, t</w:t>
      </w:r>
      <w:r w:rsidR="008B4354">
        <w:rPr>
          <w:bdr w:val="none" w:sz="0" w:space="0" w:color="auto" w:frame="1"/>
        </w:rPr>
        <w:t>housands of committed learners</w:t>
      </w:r>
      <w:r w:rsidRPr="00F37584">
        <w:rPr>
          <w:bdr w:val="none" w:sz="0" w:space="0" w:color="auto" w:frame="1"/>
        </w:rPr>
        <w:t xml:space="preserve"> have parti</w:t>
      </w:r>
      <w:r w:rsidR="00C34BE0" w:rsidRPr="00F37584">
        <w:rPr>
          <w:bdr w:val="none" w:sz="0" w:space="0" w:color="auto" w:frame="1"/>
        </w:rPr>
        <w:t>cipated in Ikamva</w:t>
      </w:r>
      <w:r w:rsidR="00413C96">
        <w:rPr>
          <w:bdr w:val="none" w:sz="0" w:space="0" w:color="auto" w:frame="1"/>
        </w:rPr>
        <w:t xml:space="preserve"> </w:t>
      </w:r>
      <w:r w:rsidR="00C34BE0" w:rsidRPr="00F37584">
        <w:rPr>
          <w:bdr w:val="none" w:sz="0" w:space="0" w:color="auto" w:frame="1"/>
        </w:rPr>
        <w:t>Youth program</w:t>
      </w:r>
      <w:r w:rsidRPr="00F37584">
        <w:rPr>
          <w:bdr w:val="none" w:sz="0" w:space="0" w:color="auto" w:frame="1"/>
        </w:rPr>
        <w:t>s</w:t>
      </w:r>
      <w:r w:rsidR="008B4354">
        <w:rPr>
          <w:bdr w:val="none" w:sz="0" w:space="0" w:color="auto" w:frame="1"/>
        </w:rPr>
        <w:t>, with an attendance rate of 75 percent</w:t>
      </w:r>
      <w:r w:rsidR="008B4354" w:rsidRPr="00F37584">
        <w:rPr>
          <w:bdr w:val="none" w:sz="0" w:space="0" w:color="auto" w:frame="1"/>
        </w:rPr>
        <w:t xml:space="preserve"> </w:t>
      </w:r>
      <w:r w:rsidR="008B4354">
        <w:rPr>
          <w:bdr w:val="none" w:sz="0" w:space="0" w:color="auto" w:frame="1"/>
        </w:rPr>
        <w:t>and higher</w:t>
      </w:r>
      <w:r w:rsidR="00C34BE0" w:rsidRPr="00F37584">
        <w:rPr>
          <w:bdr w:val="none" w:sz="0" w:space="0" w:color="auto" w:frame="1"/>
        </w:rPr>
        <w:t>.</w:t>
      </w:r>
      <w:r w:rsidR="00C34BE0" w:rsidRPr="00F37584">
        <w:t xml:space="preserve"> </w:t>
      </w:r>
      <w:r w:rsidRPr="00F37584">
        <w:rPr>
          <w:bdr w:val="none" w:sz="0" w:space="0" w:color="auto" w:frame="1"/>
        </w:rPr>
        <w:t>Ther</w:t>
      </w:r>
      <w:r w:rsidR="008B4354">
        <w:rPr>
          <w:bdr w:val="none" w:sz="0" w:space="0" w:color="auto" w:frame="1"/>
        </w:rPr>
        <w:t>e are currently 14 Branches in five p</w:t>
      </w:r>
      <w:r w:rsidRPr="00F37584">
        <w:rPr>
          <w:bdr w:val="none" w:sz="0" w:space="0" w:color="auto" w:frame="1"/>
        </w:rPr>
        <w:t xml:space="preserve">rovinces across </w:t>
      </w:r>
      <w:r w:rsidR="008B4354">
        <w:rPr>
          <w:bdr w:val="none" w:sz="0" w:space="0" w:color="auto" w:frame="1"/>
        </w:rPr>
        <w:t>South America,</w:t>
      </w:r>
      <w:r w:rsidRPr="00F37584">
        <w:rPr>
          <w:bdr w:val="none" w:sz="0" w:space="0" w:color="auto" w:frame="1"/>
        </w:rPr>
        <w:t xml:space="preserve"> and </w:t>
      </w:r>
      <w:r w:rsidR="00C34BE0" w:rsidRPr="00F37584">
        <w:rPr>
          <w:bdr w:val="none" w:sz="0" w:space="0" w:color="auto" w:frame="1"/>
        </w:rPr>
        <w:t>approximately</w:t>
      </w:r>
      <w:r w:rsidRPr="00F37584">
        <w:rPr>
          <w:bdr w:val="none" w:sz="0" w:space="0" w:color="auto" w:frame="1"/>
        </w:rPr>
        <w:t xml:space="preserve"> 1</w:t>
      </w:r>
      <w:r w:rsidR="00C24373">
        <w:rPr>
          <w:bdr w:val="none" w:sz="0" w:space="0" w:color="auto" w:frame="1"/>
        </w:rPr>
        <w:t>,</w:t>
      </w:r>
      <w:r w:rsidRPr="00F37584">
        <w:rPr>
          <w:bdr w:val="none" w:sz="0" w:space="0" w:color="auto" w:frame="1"/>
        </w:rPr>
        <w:t>900 learn</w:t>
      </w:r>
      <w:r w:rsidR="00C34BE0" w:rsidRPr="00F37584">
        <w:rPr>
          <w:bdr w:val="none" w:sz="0" w:space="0" w:color="auto" w:frame="1"/>
        </w:rPr>
        <w:t xml:space="preserve">ers </w:t>
      </w:r>
      <w:r w:rsidR="00C24373" w:rsidRPr="00F37584">
        <w:rPr>
          <w:bdr w:val="none" w:sz="0" w:space="0" w:color="auto" w:frame="1"/>
        </w:rPr>
        <w:t xml:space="preserve">currently </w:t>
      </w:r>
      <w:r w:rsidR="00C34BE0" w:rsidRPr="00F37584">
        <w:rPr>
          <w:bdr w:val="none" w:sz="0" w:space="0" w:color="auto" w:frame="1"/>
        </w:rPr>
        <w:t xml:space="preserve">registered at the branches from </w:t>
      </w:r>
      <w:r w:rsidRPr="00F37584">
        <w:rPr>
          <w:bdr w:val="none" w:sz="0" w:space="0" w:color="auto" w:frame="1"/>
        </w:rPr>
        <w:t>grade</w:t>
      </w:r>
      <w:r w:rsidR="00C34BE0" w:rsidRPr="00F37584">
        <w:rPr>
          <w:bdr w:val="none" w:sz="0" w:space="0" w:color="auto" w:frame="1"/>
        </w:rPr>
        <w:t>s</w:t>
      </w:r>
      <w:r w:rsidR="00413C96">
        <w:rPr>
          <w:bdr w:val="none" w:sz="0" w:space="0" w:color="auto" w:frame="1"/>
        </w:rPr>
        <w:t xml:space="preserve"> 8-</w:t>
      </w:r>
      <w:r w:rsidRPr="00F37584">
        <w:rPr>
          <w:bdr w:val="none" w:sz="0" w:space="0" w:color="auto" w:frame="1"/>
        </w:rPr>
        <w:t>1</w:t>
      </w:r>
      <w:r w:rsidR="00C34BE0" w:rsidRPr="00F37584">
        <w:rPr>
          <w:bdr w:val="none" w:sz="0" w:space="0" w:color="auto" w:frame="1"/>
        </w:rPr>
        <w:t>2</w:t>
      </w:r>
      <w:r w:rsidRPr="00F37584">
        <w:rPr>
          <w:bdr w:val="none" w:sz="0" w:space="0" w:color="auto" w:frame="1"/>
        </w:rPr>
        <w:t>.</w:t>
      </w:r>
      <w:r w:rsidR="00C34BE0" w:rsidRPr="00F37584">
        <w:t xml:space="preserve"> </w:t>
      </w:r>
      <w:r w:rsidRPr="00F37584">
        <w:rPr>
          <w:bdr w:val="none" w:sz="0" w:space="0" w:color="auto" w:frame="1"/>
        </w:rPr>
        <w:t>Ikamva</w:t>
      </w:r>
      <w:r w:rsidR="00413C96">
        <w:rPr>
          <w:bdr w:val="none" w:sz="0" w:space="0" w:color="auto" w:frame="1"/>
        </w:rPr>
        <w:t xml:space="preserve"> </w:t>
      </w:r>
      <w:r w:rsidRPr="00F37584">
        <w:rPr>
          <w:bdr w:val="none" w:sz="0" w:space="0" w:color="auto" w:frame="1"/>
        </w:rPr>
        <w:t>Youth currently s</w:t>
      </w:r>
      <w:r w:rsidR="00C24373">
        <w:rPr>
          <w:bdr w:val="none" w:sz="0" w:space="0" w:color="auto" w:frame="1"/>
        </w:rPr>
        <w:t>upports other non</w:t>
      </w:r>
      <w:r w:rsidR="00C34BE0" w:rsidRPr="00F37584">
        <w:rPr>
          <w:bdr w:val="none" w:sz="0" w:space="0" w:color="auto" w:frame="1"/>
        </w:rPr>
        <w:t>profit organiz</w:t>
      </w:r>
      <w:r w:rsidRPr="00F37584">
        <w:rPr>
          <w:bdr w:val="none" w:sz="0" w:space="0" w:color="auto" w:frame="1"/>
        </w:rPr>
        <w:t xml:space="preserve">ations to </w:t>
      </w:r>
      <w:r w:rsidRPr="00F37584">
        <w:rPr>
          <w:bdr w:val="none" w:sz="0" w:space="0" w:color="auto" w:frame="1"/>
        </w:rPr>
        <w:lastRenderedPageBreak/>
        <w:t>deliver an</w:t>
      </w:r>
      <w:r w:rsidR="00C24373">
        <w:rPr>
          <w:bdr w:val="none" w:sz="0" w:space="0" w:color="auto" w:frame="1"/>
        </w:rPr>
        <w:t xml:space="preserve"> after-school tutoring program, which supports</w:t>
      </w:r>
      <w:r w:rsidRPr="00F37584">
        <w:rPr>
          <w:bdr w:val="none" w:sz="0" w:space="0" w:color="auto" w:frame="1"/>
        </w:rPr>
        <w:t xml:space="preserve"> </w:t>
      </w:r>
      <w:r w:rsidR="00C34BE0" w:rsidRPr="00F37584">
        <w:rPr>
          <w:bdr w:val="none" w:sz="0" w:space="0" w:color="auto" w:frame="1"/>
        </w:rPr>
        <w:t>approximately</w:t>
      </w:r>
      <w:r w:rsidR="00C24373">
        <w:rPr>
          <w:bdr w:val="none" w:sz="0" w:space="0" w:color="auto" w:frame="1"/>
        </w:rPr>
        <w:t xml:space="preserve"> 800</w:t>
      </w:r>
      <w:r w:rsidRPr="00F37584">
        <w:rPr>
          <w:bdr w:val="none" w:sz="0" w:space="0" w:color="auto" w:frame="1"/>
        </w:rPr>
        <w:t xml:space="preserve"> learners.</w:t>
      </w:r>
      <w:r w:rsidR="00C34BE0" w:rsidRPr="00F37584">
        <w:t xml:space="preserve"> </w:t>
      </w:r>
      <w:r w:rsidRPr="00F37584">
        <w:rPr>
          <w:bdr w:val="none" w:sz="0" w:space="0" w:color="auto" w:frame="1"/>
        </w:rPr>
        <w:t>Ikamva</w:t>
      </w:r>
      <w:r w:rsidR="00413C96">
        <w:rPr>
          <w:bdr w:val="none" w:sz="0" w:space="0" w:color="auto" w:frame="1"/>
        </w:rPr>
        <w:t xml:space="preserve"> </w:t>
      </w:r>
      <w:r w:rsidRPr="00F37584">
        <w:rPr>
          <w:bdr w:val="none" w:sz="0" w:space="0" w:color="auto" w:frame="1"/>
        </w:rPr>
        <w:t>Youth has consi</w:t>
      </w:r>
      <w:r w:rsidR="007261B1">
        <w:rPr>
          <w:bdr w:val="none" w:sz="0" w:space="0" w:color="auto" w:frame="1"/>
        </w:rPr>
        <w:t>stently achieved between an 80</w:t>
      </w:r>
      <w:r w:rsidR="00C24373">
        <w:rPr>
          <w:bdr w:val="none" w:sz="0" w:space="0" w:color="auto" w:frame="1"/>
        </w:rPr>
        <w:t>-100 percent</w:t>
      </w:r>
      <w:r w:rsidRPr="00F37584">
        <w:rPr>
          <w:bdr w:val="none" w:sz="0" w:space="0" w:color="auto" w:frame="1"/>
        </w:rPr>
        <w:t xml:space="preserve"> </w:t>
      </w:r>
      <w:r w:rsidR="00F6021D">
        <w:rPr>
          <w:bdr w:val="none" w:sz="0" w:space="0" w:color="auto" w:frame="1"/>
        </w:rPr>
        <w:t xml:space="preserve">high school matriculation pass rate </w:t>
      </w:r>
      <w:r w:rsidRPr="00F37584">
        <w:rPr>
          <w:bdr w:val="none" w:sz="0" w:space="0" w:color="auto" w:frame="1"/>
        </w:rPr>
        <w:t>since 2005</w:t>
      </w:r>
      <w:r w:rsidR="00C34BE0" w:rsidRPr="00F37584">
        <w:rPr>
          <w:bdr w:val="none" w:sz="0" w:space="0" w:color="auto" w:frame="1"/>
        </w:rPr>
        <w:t>.</w:t>
      </w:r>
      <w:r w:rsidR="00C34BE0" w:rsidRPr="00F37584">
        <w:t xml:space="preserve"> </w:t>
      </w:r>
      <w:r w:rsidR="007261B1">
        <w:rPr>
          <w:bdr w:val="none" w:sz="0" w:space="0" w:color="auto" w:frame="1"/>
        </w:rPr>
        <w:t xml:space="preserve">Since 2010, 43 percent </w:t>
      </w:r>
      <w:r w:rsidRPr="00F37584">
        <w:rPr>
          <w:bdr w:val="none" w:sz="0" w:space="0" w:color="auto" w:frame="1"/>
        </w:rPr>
        <w:t>of learners have achieved bachelor passes (previo</w:t>
      </w:r>
      <w:r w:rsidR="007261B1">
        <w:rPr>
          <w:bdr w:val="none" w:sz="0" w:space="0" w:color="auto" w:frame="1"/>
        </w:rPr>
        <w:t>usly, matric exemptions)</w:t>
      </w:r>
      <w:r w:rsidR="00514AB2">
        <w:rPr>
          <w:bdr w:val="none" w:sz="0" w:space="0" w:color="auto" w:frame="1"/>
        </w:rPr>
        <w:t>,</w:t>
      </w:r>
      <w:r w:rsidR="007261B1">
        <w:rPr>
          <w:bdr w:val="none" w:sz="0" w:space="0" w:color="auto" w:frame="1"/>
        </w:rPr>
        <w:t xml:space="preserve"> and 31 percent</w:t>
      </w:r>
      <w:r w:rsidRPr="00F37584">
        <w:rPr>
          <w:bdr w:val="none" w:sz="0" w:space="0" w:color="auto" w:frame="1"/>
        </w:rPr>
        <w:t xml:space="preserve"> achieved</w:t>
      </w:r>
      <w:r w:rsidR="00F6021D">
        <w:rPr>
          <w:bdr w:val="none" w:sz="0" w:space="0" w:color="auto" w:frame="1"/>
        </w:rPr>
        <w:t xml:space="preserve"> a</w:t>
      </w:r>
      <w:r w:rsidRPr="00F37584">
        <w:rPr>
          <w:bdr w:val="none" w:sz="0" w:space="0" w:color="auto" w:frame="1"/>
        </w:rPr>
        <w:t xml:space="preserve"> diploma</w:t>
      </w:r>
      <w:r w:rsidR="00F6021D">
        <w:rPr>
          <w:bdr w:val="none" w:sz="0" w:space="0" w:color="auto" w:frame="1"/>
        </w:rPr>
        <w:t xml:space="preserve">. </w:t>
      </w:r>
      <w:r w:rsidR="00FF4BCD">
        <w:rPr>
          <w:bdr w:val="none" w:sz="0" w:space="0" w:color="auto" w:frame="1"/>
        </w:rPr>
        <w:t>Overall, 65 percent</w:t>
      </w:r>
      <w:r w:rsidRPr="00F37584">
        <w:rPr>
          <w:bdr w:val="none" w:sz="0" w:space="0" w:color="auto" w:frame="1"/>
        </w:rPr>
        <w:t xml:space="preserve"> o</w:t>
      </w:r>
      <w:r w:rsidR="00F6021D">
        <w:rPr>
          <w:bdr w:val="none" w:sz="0" w:space="0" w:color="auto" w:frame="1"/>
        </w:rPr>
        <w:t>f those learners who have matriculated from</w:t>
      </w:r>
      <w:r w:rsidRPr="00F37584">
        <w:rPr>
          <w:bdr w:val="none" w:sz="0" w:space="0" w:color="auto" w:frame="1"/>
        </w:rPr>
        <w:t xml:space="preserve"> </w:t>
      </w:r>
      <w:r w:rsidR="00F6021D">
        <w:rPr>
          <w:bdr w:val="none" w:sz="0" w:space="0" w:color="auto" w:frame="1"/>
        </w:rPr>
        <w:t xml:space="preserve">high school </w:t>
      </w:r>
      <w:r w:rsidRPr="00F37584">
        <w:rPr>
          <w:bdr w:val="none" w:sz="0" w:space="0" w:color="auto" w:frame="1"/>
        </w:rPr>
        <w:t>have</w:t>
      </w:r>
      <w:r w:rsidR="00413C96">
        <w:rPr>
          <w:bdr w:val="none" w:sz="0" w:space="0" w:color="auto" w:frame="1"/>
        </w:rPr>
        <w:t xml:space="preserve"> accessed tertiary education, an internship, </w:t>
      </w:r>
      <w:r w:rsidR="00FF4BCD">
        <w:rPr>
          <w:bdr w:val="none" w:sz="0" w:space="0" w:color="auto" w:frame="1"/>
        </w:rPr>
        <w:t>or employment within two-and-a-half</w:t>
      </w:r>
      <w:r w:rsidRPr="00F37584">
        <w:rPr>
          <w:bdr w:val="none" w:sz="0" w:space="0" w:color="auto" w:frame="1"/>
        </w:rPr>
        <w:t xml:space="preserve"> months of matriculating</w:t>
      </w:r>
      <w:r w:rsidR="00C34BE0" w:rsidRPr="00F37584">
        <w:rPr>
          <w:bdr w:val="none" w:sz="0" w:space="0" w:color="auto" w:frame="1"/>
        </w:rPr>
        <w:t>.</w:t>
      </w:r>
      <w:r w:rsidR="00C34BE0" w:rsidRPr="00F37584">
        <w:t xml:space="preserve"> </w:t>
      </w:r>
      <w:r w:rsidR="00C34BE0" w:rsidRPr="00F37584">
        <w:rPr>
          <w:bdr w:val="none" w:sz="0" w:space="0" w:color="auto" w:frame="1"/>
        </w:rPr>
        <w:t xml:space="preserve">Many </w:t>
      </w:r>
      <w:r w:rsidRPr="00F37584">
        <w:rPr>
          <w:bdr w:val="none" w:sz="0" w:space="0" w:color="auto" w:frame="1"/>
        </w:rPr>
        <w:t xml:space="preserve">matriculating learners from previous classes are staying on to volunteer </w:t>
      </w:r>
      <w:r w:rsidR="00FF4BCD">
        <w:rPr>
          <w:bdr w:val="none" w:sz="0" w:space="0" w:color="auto" w:frame="1"/>
        </w:rPr>
        <w:t xml:space="preserve">for </w:t>
      </w:r>
      <w:r w:rsidRPr="00F37584">
        <w:rPr>
          <w:bdr w:val="none" w:sz="0" w:space="0" w:color="auto" w:frame="1"/>
        </w:rPr>
        <w:t>the next generation of learners.</w:t>
      </w:r>
    </w:p>
    <w:p w14:paraId="13DE8DC1" w14:textId="3217062B" w:rsidR="00C34BE0" w:rsidRPr="00F37584" w:rsidRDefault="00F6021D" w:rsidP="002E6279">
      <w:pPr>
        <w:pStyle w:val="NormalWeb"/>
        <w:spacing w:before="0" w:beforeAutospacing="0" w:after="120" w:afterAutospacing="0"/>
        <w:jc w:val="both"/>
        <w:textAlignment w:val="baseline"/>
      </w:pPr>
      <w:r>
        <w:t xml:space="preserve">The University of Cape Town’s </w:t>
      </w:r>
      <w:r w:rsidR="00E21D39" w:rsidRPr="00F37584">
        <w:t xml:space="preserve">Development </w:t>
      </w:r>
      <w:r w:rsidR="002E6279">
        <w:t xml:space="preserve">Policy Research Unit </w:t>
      </w:r>
      <w:r w:rsidR="00E21D39" w:rsidRPr="00F37584">
        <w:t>conducted an independent evaluation of Ikamva</w:t>
      </w:r>
      <w:r w:rsidR="00413C96">
        <w:t xml:space="preserve"> </w:t>
      </w:r>
      <w:r w:rsidR="00E21D39" w:rsidRPr="00F37584">
        <w:t>Youth</w:t>
      </w:r>
      <w:r w:rsidR="00413C96">
        <w:t>’</w:t>
      </w:r>
      <w:r w:rsidR="00E21D39" w:rsidRPr="00F37584">
        <w:t>s work</w:t>
      </w:r>
      <w:r w:rsidR="00586518">
        <w:t>, and found that m</w:t>
      </w:r>
      <w:r w:rsidR="00413C96">
        <w:t>ore than 97 percent</w:t>
      </w:r>
      <w:r w:rsidR="00C34BE0" w:rsidRPr="00F37584">
        <w:t xml:space="preserve"> of graduates reported that the progr</w:t>
      </w:r>
      <w:r w:rsidR="00413C96">
        <w:t>am</w:t>
      </w:r>
      <w:r w:rsidR="00586518">
        <w:t xml:space="preserve"> inspired them to work harder, Moreover, wh</w:t>
      </w:r>
      <w:r w:rsidR="00413C96">
        <w:t>ile 83 percent</w:t>
      </w:r>
      <w:r w:rsidR="00C34BE0" w:rsidRPr="00F37584">
        <w:t xml:space="preserve"> said it changed their expect</w:t>
      </w:r>
      <w:r w:rsidR="00586518">
        <w:t>ations of what they can become, 85 percent</w:t>
      </w:r>
      <w:r w:rsidR="00C34BE0" w:rsidRPr="00F37584">
        <w:t xml:space="preserve"> said it helped them access post-schooling opportunities.</w:t>
      </w:r>
    </w:p>
    <w:p w14:paraId="308B409B" w14:textId="16012671" w:rsidR="00E21D39" w:rsidRPr="00F37584" w:rsidRDefault="00E21D39" w:rsidP="002E6279">
      <w:pPr>
        <w:pStyle w:val="NormalWeb"/>
        <w:spacing w:before="0" w:beforeAutospacing="0" w:after="120" w:afterAutospacing="0"/>
        <w:jc w:val="both"/>
        <w:textAlignment w:val="baseline"/>
        <w:rPr>
          <w:bdr w:val="none" w:sz="0" w:space="0" w:color="auto" w:frame="1"/>
        </w:rPr>
      </w:pPr>
      <w:r w:rsidRPr="00F37584">
        <w:rPr>
          <w:bdr w:val="none" w:sz="0" w:space="0" w:color="auto" w:frame="1"/>
        </w:rPr>
        <w:t>Ikamva</w:t>
      </w:r>
      <w:r w:rsidR="00413C96">
        <w:rPr>
          <w:bdr w:val="none" w:sz="0" w:space="0" w:color="auto" w:frame="1"/>
        </w:rPr>
        <w:t xml:space="preserve"> </w:t>
      </w:r>
      <w:r w:rsidRPr="00F37584">
        <w:rPr>
          <w:bdr w:val="none" w:sz="0" w:space="0" w:color="auto" w:frame="1"/>
        </w:rPr>
        <w:t>Youth</w:t>
      </w:r>
      <w:r w:rsidR="00413C96">
        <w:rPr>
          <w:bdr w:val="none" w:sz="0" w:space="0" w:color="auto" w:frame="1"/>
        </w:rPr>
        <w:t>’</w:t>
      </w:r>
      <w:r w:rsidRPr="00F37584">
        <w:rPr>
          <w:bdr w:val="none" w:sz="0" w:space="0" w:color="auto" w:frame="1"/>
        </w:rPr>
        <w:t>s impact reaches beyond individual succes</w:t>
      </w:r>
      <w:r w:rsidR="00C34BE0" w:rsidRPr="00F37584">
        <w:rPr>
          <w:bdr w:val="none" w:sz="0" w:space="0" w:color="auto" w:frame="1"/>
        </w:rPr>
        <w:t xml:space="preserve">sful learners as a result of </w:t>
      </w:r>
      <w:r w:rsidR="00586518">
        <w:rPr>
          <w:bdr w:val="none" w:sz="0" w:space="0" w:color="auto" w:frame="1"/>
        </w:rPr>
        <w:t>its</w:t>
      </w:r>
      <w:r w:rsidRPr="00F37584">
        <w:rPr>
          <w:bdr w:val="none" w:sz="0" w:space="0" w:color="auto" w:frame="1"/>
        </w:rPr>
        <w:t xml:space="preserve"> democratic approach to leadership and developing civic awareness in the communities </w:t>
      </w:r>
      <w:r w:rsidR="00C34BE0" w:rsidRPr="00F37584">
        <w:rPr>
          <w:bdr w:val="none" w:sz="0" w:space="0" w:color="auto" w:frame="1"/>
        </w:rPr>
        <w:t>they</w:t>
      </w:r>
      <w:r w:rsidRPr="00F37584">
        <w:rPr>
          <w:bdr w:val="none" w:sz="0" w:space="0" w:color="auto" w:frame="1"/>
        </w:rPr>
        <w:t xml:space="preserve"> work</w:t>
      </w:r>
      <w:r w:rsidR="00C34BE0" w:rsidRPr="00F37584">
        <w:rPr>
          <w:bdr w:val="none" w:sz="0" w:space="0" w:color="auto" w:frame="1"/>
        </w:rPr>
        <w:t xml:space="preserve"> in</w:t>
      </w:r>
      <w:r w:rsidRPr="00F37584">
        <w:rPr>
          <w:bdr w:val="none" w:sz="0" w:space="0" w:color="auto" w:frame="1"/>
        </w:rPr>
        <w:t>. At its core</w:t>
      </w:r>
      <w:r w:rsidR="00586518">
        <w:rPr>
          <w:bdr w:val="none" w:sz="0" w:space="0" w:color="auto" w:frame="1"/>
        </w:rPr>
        <w:t>,</w:t>
      </w:r>
      <w:r w:rsidRPr="00F37584">
        <w:rPr>
          <w:bdr w:val="none" w:sz="0" w:space="0" w:color="auto" w:frame="1"/>
        </w:rPr>
        <w:t xml:space="preserve"> Ikamva</w:t>
      </w:r>
      <w:r w:rsidR="00413C96">
        <w:rPr>
          <w:bdr w:val="none" w:sz="0" w:space="0" w:color="auto" w:frame="1"/>
        </w:rPr>
        <w:t xml:space="preserve"> </w:t>
      </w:r>
      <w:r w:rsidRPr="00F37584">
        <w:rPr>
          <w:bdr w:val="none" w:sz="0" w:space="0" w:color="auto" w:frame="1"/>
        </w:rPr>
        <w:t>Youth addresses the challenges of urban poverty and inequality perpetuated by South Africa</w:t>
      </w:r>
      <w:r w:rsidR="00413C96">
        <w:rPr>
          <w:bdr w:val="none" w:sz="0" w:space="0" w:color="auto" w:frame="1"/>
        </w:rPr>
        <w:t>’</w:t>
      </w:r>
      <w:r w:rsidRPr="00F37584">
        <w:rPr>
          <w:bdr w:val="none" w:sz="0" w:space="0" w:color="auto" w:frame="1"/>
        </w:rPr>
        <w:t>s education crisis.</w:t>
      </w:r>
    </w:p>
    <w:p w14:paraId="5CEFDF91" w14:textId="452C777F" w:rsidR="00A733C7" w:rsidRPr="00F37584" w:rsidRDefault="00C34BE0" w:rsidP="002E6279">
      <w:pPr>
        <w:spacing w:after="120"/>
        <w:jc w:val="both"/>
      </w:pPr>
      <w:r w:rsidRPr="00F37584">
        <w:t xml:space="preserve">The project has received many awards, including a 2014 </w:t>
      </w:r>
      <w:r w:rsidR="007D1529" w:rsidRPr="007D1529">
        <w:t xml:space="preserve">Global Social Benefit Institute </w:t>
      </w:r>
      <w:r w:rsidR="007D1529">
        <w:t>(</w:t>
      </w:r>
      <w:r w:rsidRPr="00F37584">
        <w:t>GSBI</w:t>
      </w:r>
      <w:r w:rsidR="007D1529">
        <w:t>)</w:t>
      </w:r>
      <w:r w:rsidRPr="00F37584">
        <w:t xml:space="preserve"> Accelerator program scholarship</w:t>
      </w:r>
      <w:r w:rsidR="00565AAF">
        <w:t xml:space="preserve"> from the </w:t>
      </w:r>
      <w:r w:rsidR="00565AAF" w:rsidRPr="00565AAF">
        <w:t>Miller Cen</w:t>
      </w:r>
      <w:r w:rsidR="00565AAF">
        <w:t xml:space="preserve">ter for Social Entrepreneurship at </w:t>
      </w:r>
      <w:r w:rsidR="00565AAF" w:rsidRPr="00565AAF">
        <w:t>Santa Clara University</w:t>
      </w:r>
      <w:r w:rsidR="00565AAF">
        <w:t xml:space="preserve"> in California</w:t>
      </w:r>
      <w:r w:rsidRPr="00F37584">
        <w:t xml:space="preserve">, a 2013 Ashoka Fellowship, a 2013 </w:t>
      </w:r>
      <w:r w:rsidR="00CA3E8B">
        <w:t>Stars</w:t>
      </w:r>
      <w:r w:rsidRPr="00F37584">
        <w:t xml:space="preserve"> </w:t>
      </w:r>
      <w:r w:rsidR="00CA3E8B">
        <w:t xml:space="preserve">Foundation </w:t>
      </w:r>
      <w:r w:rsidRPr="00F37584">
        <w:t>Impact Award, and a 2010 Drivers of Change award from the Southern African Trust.</w:t>
      </w:r>
    </w:p>
    <w:p w14:paraId="7CFD7738" w14:textId="7987BE98" w:rsidR="00064898" w:rsidRPr="00F37584" w:rsidRDefault="00064898" w:rsidP="00F6021D">
      <w:pPr>
        <w:pStyle w:val="Heading1"/>
        <w:rPr>
          <w:b/>
        </w:rPr>
      </w:pPr>
      <w:r w:rsidRPr="00F37584">
        <w:t>Challenges</w:t>
      </w:r>
    </w:p>
    <w:p w14:paraId="22948677" w14:textId="42E4B4B1" w:rsidR="00944050" w:rsidRPr="00F37584" w:rsidRDefault="00261B52" w:rsidP="002E6279">
      <w:pPr>
        <w:widowControl w:val="0"/>
        <w:autoSpaceDE w:val="0"/>
        <w:autoSpaceDN w:val="0"/>
        <w:adjustRightInd w:val="0"/>
        <w:spacing w:after="120"/>
        <w:jc w:val="both"/>
      </w:pPr>
      <w:r>
        <w:rPr>
          <w:b/>
        </w:rPr>
        <w:t>Lack of sustained funding</w:t>
      </w:r>
      <w:r w:rsidR="006C06AF">
        <w:t xml:space="preserve"> – </w:t>
      </w:r>
      <w:r w:rsidR="001E29FF" w:rsidRPr="00F37584">
        <w:t xml:space="preserve">The program is </w:t>
      </w:r>
      <w:r w:rsidR="00944050" w:rsidRPr="00F37584">
        <w:t xml:space="preserve">expensive to run, </w:t>
      </w:r>
      <w:r w:rsidR="001E29FF" w:rsidRPr="00F37584">
        <w:t xml:space="preserve">especially the </w:t>
      </w:r>
      <w:r w:rsidR="00944050" w:rsidRPr="00F37584">
        <w:t>cost</w:t>
      </w:r>
      <w:r w:rsidR="00CB7965">
        <w:t>s</w:t>
      </w:r>
      <w:r w:rsidR="00944050" w:rsidRPr="00F37584">
        <w:t xml:space="preserve"> of data,</w:t>
      </w:r>
      <w:r w:rsidR="001E29FF" w:rsidRPr="00F37584">
        <w:t xml:space="preserve"> </w:t>
      </w:r>
      <w:r w:rsidR="00565AAF" w:rsidRPr="00F37584">
        <w:t>Internet</w:t>
      </w:r>
      <w:r w:rsidR="001E29FF" w:rsidRPr="00F37584">
        <w:t xml:space="preserve"> service, and</w:t>
      </w:r>
      <w:r w:rsidR="00944050" w:rsidRPr="00F37584">
        <w:t xml:space="preserve"> installation</w:t>
      </w:r>
      <w:r w:rsidR="001E29FF" w:rsidRPr="00F37584">
        <w:t xml:space="preserve"> of devices and infrastructure to support connectivity.</w:t>
      </w:r>
    </w:p>
    <w:p w14:paraId="36F7405F" w14:textId="05EA78A8" w:rsidR="00944050" w:rsidRPr="00F37584" w:rsidRDefault="00261B52" w:rsidP="002E6279">
      <w:pPr>
        <w:widowControl w:val="0"/>
        <w:autoSpaceDE w:val="0"/>
        <w:autoSpaceDN w:val="0"/>
        <w:adjustRightInd w:val="0"/>
        <w:spacing w:after="120"/>
        <w:jc w:val="both"/>
      </w:pPr>
      <w:bookmarkStart w:id="2" w:name="_GoBack"/>
      <w:r w:rsidRPr="00261B52">
        <w:rPr>
          <w:b/>
          <w:bCs/>
        </w:rPr>
        <w:t>Equipment damage</w:t>
      </w:r>
      <w:r w:rsidR="006C06AF">
        <w:t xml:space="preserve"> </w:t>
      </w:r>
      <w:bookmarkEnd w:id="2"/>
      <w:r w:rsidR="006C06AF">
        <w:t xml:space="preserve">– </w:t>
      </w:r>
      <w:r w:rsidR="001E29FF" w:rsidRPr="00F37584">
        <w:t>B</w:t>
      </w:r>
      <w:r w:rsidR="00BF199B" w:rsidRPr="00F37584">
        <w:t xml:space="preserve">reak-ins, theft of equipment, </w:t>
      </w:r>
      <w:r w:rsidR="001E29FF" w:rsidRPr="00F37584">
        <w:t>and vandalism of labs is common. S</w:t>
      </w:r>
      <w:r w:rsidR="00BF199B" w:rsidRPr="00F37584">
        <w:t>erving low-income populations</w:t>
      </w:r>
      <w:r w:rsidR="001E29FF" w:rsidRPr="00F37584">
        <w:t xml:space="preserve"> with uneven commitment to the project</w:t>
      </w:r>
      <w:r w:rsidR="00BF199B" w:rsidRPr="00F37584">
        <w:t xml:space="preserve"> </w:t>
      </w:r>
      <w:r w:rsidR="001E29FF" w:rsidRPr="00F37584">
        <w:t xml:space="preserve">in areas with relatively higher amounts of crime </w:t>
      </w:r>
      <w:r w:rsidR="00BF199B" w:rsidRPr="00F37584">
        <w:t>means the labs</w:t>
      </w:r>
      <w:r w:rsidR="001E29FF" w:rsidRPr="00F37584">
        <w:t xml:space="preserve"> can be vulnerable</w:t>
      </w:r>
      <w:r w:rsidR="00BF199B" w:rsidRPr="00F37584">
        <w:t>.</w:t>
      </w:r>
    </w:p>
    <w:p w14:paraId="466D5EBE" w14:textId="54B6E1F9" w:rsidR="00944050" w:rsidRPr="00F37584" w:rsidRDefault="002E6279" w:rsidP="002E6279">
      <w:pPr>
        <w:widowControl w:val="0"/>
        <w:autoSpaceDE w:val="0"/>
        <w:autoSpaceDN w:val="0"/>
        <w:adjustRightInd w:val="0"/>
        <w:spacing w:after="120"/>
        <w:jc w:val="both"/>
      </w:pPr>
      <w:r>
        <w:rPr>
          <w:b/>
        </w:rPr>
        <w:t>L</w:t>
      </w:r>
      <w:r w:rsidR="00261B52">
        <w:rPr>
          <w:b/>
        </w:rPr>
        <w:t>imited and irregular electricity access</w:t>
      </w:r>
      <w:r w:rsidR="006C06AF">
        <w:rPr>
          <w:b/>
        </w:rPr>
        <w:t xml:space="preserve"> – </w:t>
      </w:r>
      <w:r w:rsidR="001E29FF" w:rsidRPr="00F37584">
        <w:t>P</w:t>
      </w:r>
      <w:r w:rsidR="00944050" w:rsidRPr="00F37584">
        <w:t>ower outages</w:t>
      </w:r>
      <w:r w:rsidR="001E29FF" w:rsidRPr="00F37584">
        <w:t xml:space="preserve"> in the serviced areas make connectivity unreliable.</w:t>
      </w:r>
    </w:p>
    <w:p w14:paraId="3F28B6B5" w14:textId="5FB0BB3A" w:rsidR="00806099" w:rsidRPr="00F37584" w:rsidRDefault="00BF143C" w:rsidP="002E6279">
      <w:pPr>
        <w:widowControl w:val="0"/>
        <w:autoSpaceDE w:val="0"/>
        <w:autoSpaceDN w:val="0"/>
        <w:adjustRightInd w:val="0"/>
        <w:spacing w:after="120"/>
        <w:jc w:val="both"/>
      </w:pPr>
      <w:r w:rsidRPr="00F37584">
        <w:rPr>
          <w:b/>
        </w:rPr>
        <w:t>Technological obsolescence</w:t>
      </w:r>
      <w:r w:rsidR="006C06AF">
        <w:rPr>
          <w:b/>
        </w:rPr>
        <w:t xml:space="preserve"> – </w:t>
      </w:r>
      <w:r w:rsidR="001E29FF" w:rsidRPr="00F37584">
        <w:t>T</w:t>
      </w:r>
      <w:r w:rsidRPr="00F37584">
        <w:t>ech</w:t>
      </w:r>
      <w:r w:rsidR="001E29FF" w:rsidRPr="00F37584">
        <w:t>nology</w:t>
      </w:r>
      <w:r w:rsidRPr="00F37584">
        <w:t xml:space="preserve"> is always changing, </w:t>
      </w:r>
      <w:r w:rsidR="00CB7965">
        <w:t xml:space="preserve">and </w:t>
      </w:r>
      <w:r w:rsidR="00944050" w:rsidRPr="00F37584">
        <w:t>laptops </w:t>
      </w:r>
      <w:r w:rsidR="001E29FF" w:rsidRPr="00F37584">
        <w:t>are superseding desktops and tablets</w:t>
      </w:r>
      <w:r w:rsidR="00CB7965">
        <w:t>. K</w:t>
      </w:r>
      <w:r w:rsidR="001E29FF" w:rsidRPr="00F37584">
        <w:t>eeping up with the pace of updates is expensive and time consuming</w:t>
      </w:r>
      <w:r w:rsidR="00CB7965">
        <w:t>,</w:t>
      </w:r>
      <w:r w:rsidR="001E29FF" w:rsidRPr="00F37584">
        <w:t xml:space="preserve"> and means users need to be trained constantly on new equipment.</w:t>
      </w:r>
    </w:p>
    <w:p w14:paraId="0ECA4D3D" w14:textId="57721A03" w:rsidR="00286CB9" w:rsidRPr="00F37584" w:rsidRDefault="006C06AF" w:rsidP="00F6021D">
      <w:pPr>
        <w:pStyle w:val="Heading1"/>
        <w:rPr>
          <w:b/>
        </w:rPr>
      </w:pPr>
      <w:r>
        <w:t>Ikamva</w:t>
      </w:r>
      <w:r w:rsidR="00413C96">
        <w:t xml:space="preserve"> </w:t>
      </w:r>
      <w:r w:rsidRPr="006C06AF">
        <w:t>Youth</w:t>
      </w:r>
      <w:r w:rsidR="00413C96">
        <w:t>’</w:t>
      </w:r>
      <w:r w:rsidR="00286CB9" w:rsidRPr="00F37584">
        <w:t>s</w:t>
      </w:r>
      <w:r>
        <w:t xml:space="preserve"> Suggestions for Future Projects</w:t>
      </w:r>
    </w:p>
    <w:p w14:paraId="42C0AE5E" w14:textId="477BFC8C" w:rsidR="00E1084A" w:rsidRPr="00F37584" w:rsidRDefault="006C06AF" w:rsidP="00F37584">
      <w:pPr>
        <w:jc w:val="both"/>
      </w:pPr>
      <w:r>
        <w:rPr>
          <w:b/>
        </w:rPr>
        <w:t>Community participation</w:t>
      </w:r>
      <w:r w:rsidR="002E6279">
        <w:rPr>
          <w:b/>
        </w:rPr>
        <w:t xml:space="preserve"> is key</w:t>
      </w:r>
      <w:r>
        <w:rPr>
          <w:b/>
        </w:rPr>
        <w:t xml:space="preserve"> –</w:t>
      </w:r>
      <w:r w:rsidR="00BF143C" w:rsidRPr="00F37584">
        <w:rPr>
          <w:b/>
        </w:rPr>
        <w:t xml:space="preserve"> </w:t>
      </w:r>
      <w:r w:rsidR="00BF143C" w:rsidRPr="00F37584">
        <w:t xml:space="preserve">To combat vandalism and theft, </w:t>
      </w:r>
      <w:r w:rsidR="001E29FF" w:rsidRPr="00F37584">
        <w:t xml:space="preserve">and raise rates of new user adoption, </w:t>
      </w:r>
      <w:r w:rsidRPr="00F37584">
        <w:t>it is</w:t>
      </w:r>
      <w:r w:rsidR="00BF143C" w:rsidRPr="00F37584">
        <w:t xml:space="preserve"> important to make the community a part of the project, with a stake in its maintenance and sustainability.</w:t>
      </w:r>
    </w:p>
    <w:p w14:paraId="0AB9E804" w14:textId="190693F5" w:rsidR="00C34BE0" w:rsidRPr="00F37584" w:rsidRDefault="003B312F" w:rsidP="00F6021D">
      <w:pPr>
        <w:pStyle w:val="Heading1"/>
        <w:rPr>
          <w:b/>
        </w:rPr>
      </w:pPr>
      <w:r w:rsidRPr="00F37584">
        <w:t>Sources</w:t>
      </w:r>
    </w:p>
    <w:p w14:paraId="44B9E134" w14:textId="0E29EDEA" w:rsidR="002E6279" w:rsidRPr="002E6279" w:rsidRDefault="002E6279" w:rsidP="002E6279">
      <w:pPr>
        <w:rPr>
          <w:rFonts w:eastAsia="Times New Roman"/>
        </w:rPr>
      </w:pPr>
      <w:proofErr w:type="spellStart"/>
      <w:r w:rsidRPr="002E6279">
        <w:rPr>
          <w:rFonts w:eastAsia="Times New Roman"/>
          <w:color w:val="000000"/>
        </w:rPr>
        <w:t>Mashanda</w:t>
      </w:r>
      <w:proofErr w:type="spellEnd"/>
      <w:r w:rsidRPr="002E6279">
        <w:rPr>
          <w:rFonts w:eastAsia="Times New Roman"/>
          <w:color w:val="000000"/>
        </w:rPr>
        <w:t>, P (2017, October 31) Personal Interview.</w:t>
      </w:r>
    </w:p>
    <w:p w14:paraId="6E32CF20" w14:textId="7998F54F" w:rsidR="00C34BE0" w:rsidRPr="002E6279" w:rsidRDefault="00F43429" w:rsidP="00F37584">
      <w:pPr>
        <w:shd w:val="clear" w:color="auto" w:fill="FFFFFF"/>
        <w:jc w:val="both"/>
      </w:pPr>
      <w:r w:rsidRPr="002E6279">
        <w:t xml:space="preserve">Project website: </w:t>
      </w:r>
      <w:hyperlink r:id="rId9" w:history="1">
        <w:r w:rsidR="006C06AF" w:rsidRPr="002E6279">
          <w:rPr>
            <w:rStyle w:val="Hyperlink"/>
            <w:u w:val="none"/>
          </w:rPr>
          <w:t>www.ikamvayouth.org</w:t>
        </w:r>
      </w:hyperlink>
    </w:p>
    <w:p w14:paraId="17D2D2D0" w14:textId="06B64BB2" w:rsidR="006F3D92" w:rsidRPr="00F37584" w:rsidRDefault="006F3D92" w:rsidP="00F37584">
      <w:pPr>
        <w:rPr>
          <w:b/>
        </w:rPr>
      </w:pPr>
      <w:r w:rsidRPr="00F37584">
        <w:rPr>
          <w:b/>
        </w:rPr>
        <w:t xml:space="preserve"> </w:t>
      </w:r>
    </w:p>
    <w:sectPr w:rsidR="006F3D92" w:rsidRPr="00F37584" w:rsidSect="007230D2">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C1804" w14:textId="77777777" w:rsidR="0075345C" w:rsidRDefault="0075345C" w:rsidP="00D733CF">
      <w:r>
        <w:separator/>
      </w:r>
    </w:p>
  </w:endnote>
  <w:endnote w:type="continuationSeparator" w:id="0">
    <w:p w14:paraId="3EEEA4CB" w14:textId="77777777" w:rsidR="0075345C" w:rsidRDefault="0075345C"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848556"/>
      <w:docPartObj>
        <w:docPartGallery w:val="Page Numbers (Bottom of Page)"/>
        <w:docPartUnique/>
      </w:docPartObj>
    </w:sdtPr>
    <w:sdtEndPr>
      <w:rPr>
        <w:rStyle w:val="PageNumber"/>
      </w:rPr>
    </w:sdtEndPr>
    <w:sdtContent>
      <w:p w14:paraId="2B891F03" w14:textId="72FC1917" w:rsidR="00F6021D" w:rsidRDefault="00F6021D"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FF1D98" w14:textId="77777777" w:rsidR="00F6021D" w:rsidRDefault="00F60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3398387"/>
      <w:docPartObj>
        <w:docPartGallery w:val="Page Numbers (Bottom of Page)"/>
        <w:docPartUnique/>
      </w:docPartObj>
    </w:sdtPr>
    <w:sdtEndPr>
      <w:rPr>
        <w:rStyle w:val="PageNumber"/>
      </w:rPr>
    </w:sdtEndPr>
    <w:sdtContent>
      <w:p w14:paraId="0938CA98" w14:textId="0E2A77FC" w:rsidR="00F6021D" w:rsidRDefault="00F6021D"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9E4C74" w14:textId="4F77AF58" w:rsidR="00CB7965" w:rsidRPr="00646209" w:rsidRDefault="00CB7965" w:rsidP="00F6021D">
    <w:pPr>
      <w:pStyle w:val="Footer"/>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27BAA" w14:textId="62CED63D" w:rsidR="00F6021D" w:rsidRDefault="00F6021D" w:rsidP="00F6021D">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8718" w14:textId="77777777" w:rsidR="0075345C" w:rsidRDefault="0075345C" w:rsidP="00D733CF">
      <w:r>
        <w:separator/>
      </w:r>
    </w:p>
  </w:footnote>
  <w:footnote w:type="continuationSeparator" w:id="0">
    <w:p w14:paraId="50DF5E04" w14:textId="77777777" w:rsidR="0075345C" w:rsidRDefault="0075345C"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7BF8C773" w:rsidR="00CB7965" w:rsidRDefault="00F6021D"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120887CF" wp14:editId="394E9010">
          <wp:simplePos x="0" y="0"/>
          <wp:positionH relativeFrom="column">
            <wp:posOffset>-8890</wp:posOffset>
          </wp:positionH>
          <wp:positionV relativeFrom="paragraph">
            <wp:posOffset>1905</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803"/>
    <w:multiLevelType w:val="multilevel"/>
    <w:tmpl w:val="BCCE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8758F9"/>
    <w:multiLevelType w:val="multilevel"/>
    <w:tmpl w:val="060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E33FE"/>
    <w:multiLevelType w:val="multilevel"/>
    <w:tmpl w:val="99C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C129F"/>
    <w:multiLevelType w:val="multilevel"/>
    <w:tmpl w:val="1A1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E29B9"/>
    <w:multiLevelType w:val="hybridMultilevel"/>
    <w:tmpl w:val="C03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76F9C"/>
    <w:multiLevelType w:val="multilevel"/>
    <w:tmpl w:val="184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3314F"/>
    <w:multiLevelType w:val="multilevel"/>
    <w:tmpl w:val="C4D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EF1126"/>
    <w:multiLevelType w:val="multilevel"/>
    <w:tmpl w:val="3494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
  </w:num>
  <w:num w:numId="6">
    <w:abstractNumId w:val="3"/>
  </w:num>
  <w:num w:numId="7">
    <w:abstractNumId w:val="7"/>
  </w:num>
  <w:num w:numId="8">
    <w:abstractNumId w:val="0"/>
  </w:num>
  <w:num w:numId="9">
    <w:abstractNumId w:val="4"/>
  </w:num>
  <w:num w:numId="10">
    <w:abstractNumId w:val="11"/>
  </w:num>
  <w:num w:numId="11">
    <w:abstractNumId w:val="10"/>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0299"/>
    <w:rsid w:val="00000B92"/>
    <w:rsid w:val="00004F0F"/>
    <w:rsid w:val="00005F3E"/>
    <w:rsid w:val="0000755A"/>
    <w:rsid w:val="000106EB"/>
    <w:rsid w:val="000127FF"/>
    <w:rsid w:val="0001373B"/>
    <w:rsid w:val="0001651A"/>
    <w:rsid w:val="00021183"/>
    <w:rsid w:val="0002644C"/>
    <w:rsid w:val="0003125E"/>
    <w:rsid w:val="00032DA4"/>
    <w:rsid w:val="00035DA7"/>
    <w:rsid w:val="00036756"/>
    <w:rsid w:val="0004752A"/>
    <w:rsid w:val="00056561"/>
    <w:rsid w:val="000632AE"/>
    <w:rsid w:val="00064898"/>
    <w:rsid w:val="0006710C"/>
    <w:rsid w:val="000706B0"/>
    <w:rsid w:val="0007425A"/>
    <w:rsid w:val="00076587"/>
    <w:rsid w:val="0008137B"/>
    <w:rsid w:val="000815B5"/>
    <w:rsid w:val="00086476"/>
    <w:rsid w:val="000867BB"/>
    <w:rsid w:val="000903BB"/>
    <w:rsid w:val="000949C8"/>
    <w:rsid w:val="000956F7"/>
    <w:rsid w:val="000970BE"/>
    <w:rsid w:val="000A612A"/>
    <w:rsid w:val="000B0148"/>
    <w:rsid w:val="000B4FEB"/>
    <w:rsid w:val="000C0E53"/>
    <w:rsid w:val="000C2B99"/>
    <w:rsid w:val="000C3E1C"/>
    <w:rsid w:val="000C42A8"/>
    <w:rsid w:val="000C4879"/>
    <w:rsid w:val="000D5210"/>
    <w:rsid w:val="000D6F63"/>
    <w:rsid w:val="000D755E"/>
    <w:rsid w:val="000E7657"/>
    <w:rsid w:val="000F29C0"/>
    <w:rsid w:val="000F515E"/>
    <w:rsid w:val="00111E59"/>
    <w:rsid w:val="001149DA"/>
    <w:rsid w:val="00117D2D"/>
    <w:rsid w:val="00122B9B"/>
    <w:rsid w:val="0012608B"/>
    <w:rsid w:val="0012793E"/>
    <w:rsid w:val="00130CD7"/>
    <w:rsid w:val="0013222C"/>
    <w:rsid w:val="00134CA7"/>
    <w:rsid w:val="00135372"/>
    <w:rsid w:val="00135D22"/>
    <w:rsid w:val="00140192"/>
    <w:rsid w:val="0014349A"/>
    <w:rsid w:val="0014563B"/>
    <w:rsid w:val="00146CE6"/>
    <w:rsid w:val="001541B1"/>
    <w:rsid w:val="001569B3"/>
    <w:rsid w:val="00156AA6"/>
    <w:rsid w:val="0016070C"/>
    <w:rsid w:val="001639E3"/>
    <w:rsid w:val="00165E7B"/>
    <w:rsid w:val="00170B8A"/>
    <w:rsid w:val="001764B9"/>
    <w:rsid w:val="00176E84"/>
    <w:rsid w:val="00183D67"/>
    <w:rsid w:val="001847A4"/>
    <w:rsid w:val="00187383"/>
    <w:rsid w:val="0019219A"/>
    <w:rsid w:val="0019395C"/>
    <w:rsid w:val="00196961"/>
    <w:rsid w:val="001A00CF"/>
    <w:rsid w:val="001A3646"/>
    <w:rsid w:val="001A37E3"/>
    <w:rsid w:val="001A7F0F"/>
    <w:rsid w:val="001B532E"/>
    <w:rsid w:val="001C1086"/>
    <w:rsid w:val="001C74BF"/>
    <w:rsid w:val="001D1F4F"/>
    <w:rsid w:val="001D476E"/>
    <w:rsid w:val="001D6516"/>
    <w:rsid w:val="001E29FF"/>
    <w:rsid w:val="001E2C3C"/>
    <w:rsid w:val="001E3836"/>
    <w:rsid w:val="001F1EC2"/>
    <w:rsid w:val="002026AD"/>
    <w:rsid w:val="0021035D"/>
    <w:rsid w:val="00213EA3"/>
    <w:rsid w:val="00217498"/>
    <w:rsid w:val="002248E8"/>
    <w:rsid w:val="00225828"/>
    <w:rsid w:val="00226389"/>
    <w:rsid w:val="0023085B"/>
    <w:rsid w:val="00233122"/>
    <w:rsid w:val="00240FEA"/>
    <w:rsid w:val="002429CF"/>
    <w:rsid w:val="002612C5"/>
    <w:rsid w:val="00261B52"/>
    <w:rsid w:val="00263CC8"/>
    <w:rsid w:val="00273C3D"/>
    <w:rsid w:val="00283653"/>
    <w:rsid w:val="00284554"/>
    <w:rsid w:val="00286CB9"/>
    <w:rsid w:val="002A5786"/>
    <w:rsid w:val="002B55D2"/>
    <w:rsid w:val="002C0B07"/>
    <w:rsid w:val="002C3587"/>
    <w:rsid w:val="002C60F8"/>
    <w:rsid w:val="002C78A0"/>
    <w:rsid w:val="002D5221"/>
    <w:rsid w:val="002E1BE9"/>
    <w:rsid w:val="002E51EB"/>
    <w:rsid w:val="002E6279"/>
    <w:rsid w:val="002E7475"/>
    <w:rsid w:val="002F017E"/>
    <w:rsid w:val="002F1888"/>
    <w:rsid w:val="002F2CA6"/>
    <w:rsid w:val="002F33D4"/>
    <w:rsid w:val="002F3B15"/>
    <w:rsid w:val="002F5296"/>
    <w:rsid w:val="00302EDE"/>
    <w:rsid w:val="00304BA9"/>
    <w:rsid w:val="00305166"/>
    <w:rsid w:val="00306C83"/>
    <w:rsid w:val="0031042E"/>
    <w:rsid w:val="00310508"/>
    <w:rsid w:val="00325325"/>
    <w:rsid w:val="00325562"/>
    <w:rsid w:val="00334747"/>
    <w:rsid w:val="00335AF0"/>
    <w:rsid w:val="00336BB1"/>
    <w:rsid w:val="00336E0D"/>
    <w:rsid w:val="00337D6F"/>
    <w:rsid w:val="003546D5"/>
    <w:rsid w:val="00357E26"/>
    <w:rsid w:val="0037517E"/>
    <w:rsid w:val="00375BB0"/>
    <w:rsid w:val="003779DB"/>
    <w:rsid w:val="00393E4D"/>
    <w:rsid w:val="00395435"/>
    <w:rsid w:val="003A1019"/>
    <w:rsid w:val="003A2456"/>
    <w:rsid w:val="003A7469"/>
    <w:rsid w:val="003B1374"/>
    <w:rsid w:val="003B312F"/>
    <w:rsid w:val="003B687F"/>
    <w:rsid w:val="003B6FAB"/>
    <w:rsid w:val="003D19AD"/>
    <w:rsid w:val="003D55FE"/>
    <w:rsid w:val="003E0AED"/>
    <w:rsid w:val="003E15AC"/>
    <w:rsid w:val="003F0C25"/>
    <w:rsid w:val="003F192A"/>
    <w:rsid w:val="003F5D58"/>
    <w:rsid w:val="003F5DB0"/>
    <w:rsid w:val="00400D62"/>
    <w:rsid w:val="00413C96"/>
    <w:rsid w:val="004154E9"/>
    <w:rsid w:val="00417261"/>
    <w:rsid w:val="00421731"/>
    <w:rsid w:val="00421AAB"/>
    <w:rsid w:val="00421FD7"/>
    <w:rsid w:val="00423189"/>
    <w:rsid w:val="00425502"/>
    <w:rsid w:val="00447628"/>
    <w:rsid w:val="00452550"/>
    <w:rsid w:val="00456F32"/>
    <w:rsid w:val="00460B32"/>
    <w:rsid w:val="00464C84"/>
    <w:rsid w:val="004710A1"/>
    <w:rsid w:val="00471412"/>
    <w:rsid w:val="004728EB"/>
    <w:rsid w:val="00475BD0"/>
    <w:rsid w:val="004A0B03"/>
    <w:rsid w:val="004A77E6"/>
    <w:rsid w:val="004A7D76"/>
    <w:rsid w:val="004B1DC5"/>
    <w:rsid w:val="004B2D3B"/>
    <w:rsid w:val="004B725E"/>
    <w:rsid w:val="004C310D"/>
    <w:rsid w:val="004C4A6B"/>
    <w:rsid w:val="004C7D6C"/>
    <w:rsid w:val="004E0A54"/>
    <w:rsid w:val="004E797E"/>
    <w:rsid w:val="004F48E1"/>
    <w:rsid w:val="005122FD"/>
    <w:rsid w:val="00513ECB"/>
    <w:rsid w:val="00514AB2"/>
    <w:rsid w:val="00515373"/>
    <w:rsid w:val="0052368C"/>
    <w:rsid w:val="00526EE1"/>
    <w:rsid w:val="00527498"/>
    <w:rsid w:val="0053150C"/>
    <w:rsid w:val="00535161"/>
    <w:rsid w:val="00551F16"/>
    <w:rsid w:val="00553470"/>
    <w:rsid w:val="005543B3"/>
    <w:rsid w:val="00563783"/>
    <w:rsid w:val="0056385D"/>
    <w:rsid w:val="00565AAF"/>
    <w:rsid w:val="00566496"/>
    <w:rsid w:val="0058161F"/>
    <w:rsid w:val="00582BC9"/>
    <w:rsid w:val="0058332F"/>
    <w:rsid w:val="005838A0"/>
    <w:rsid w:val="0058603C"/>
    <w:rsid w:val="00586518"/>
    <w:rsid w:val="005A3AEF"/>
    <w:rsid w:val="005B397F"/>
    <w:rsid w:val="005B7C1F"/>
    <w:rsid w:val="005C2997"/>
    <w:rsid w:val="005D11D8"/>
    <w:rsid w:val="005D530D"/>
    <w:rsid w:val="005E532D"/>
    <w:rsid w:val="005F5A7A"/>
    <w:rsid w:val="005F656D"/>
    <w:rsid w:val="005F7211"/>
    <w:rsid w:val="0060560D"/>
    <w:rsid w:val="00607A2E"/>
    <w:rsid w:val="00613548"/>
    <w:rsid w:val="00613FBA"/>
    <w:rsid w:val="0061646D"/>
    <w:rsid w:val="00625556"/>
    <w:rsid w:val="0063000A"/>
    <w:rsid w:val="00637649"/>
    <w:rsid w:val="006447F7"/>
    <w:rsid w:val="00646209"/>
    <w:rsid w:val="006473C8"/>
    <w:rsid w:val="00647FBD"/>
    <w:rsid w:val="00661004"/>
    <w:rsid w:val="006637D5"/>
    <w:rsid w:val="00663824"/>
    <w:rsid w:val="00664459"/>
    <w:rsid w:val="006664E5"/>
    <w:rsid w:val="00670D64"/>
    <w:rsid w:val="00672730"/>
    <w:rsid w:val="00673D38"/>
    <w:rsid w:val="00674519"/>
    <w:rsid w:val="00684564"/>
    <w:rsid w:val="00692C66"/>
    <w:rsid w:val="006A1D58"/>
    <w:rsid w:val="006A78BE"/>
    <w:rsid w:val="006B5121"/>
    <w:rsid w:val="006B6222"/>
    <w:rsid w:val="006C06AF"/>
    <w:rsid w:val="006C2913"/>
    <w:rsid w:val="006D14DB"/>
    <w:rsid w:val="006E2904"/>
    <w:rsid w:val="006E3BAB"/>
    <w:rsid w:val="006E694E"/>
    <w:rsid w:val="006F106B"/>
    <w:rsid w:val="006F3D92"/>
    <w:rsid w:val="006F5AC6"/>
    <w:rsid w:val="00700890"/>
    <w:rsid w:val="007033D9"/>
    <w:rsid w:val="007065BB"/>
    <w:rsid w:val="00706851"/>
    <w:rsid w:val="0071155C"/>
    <w:rsid w:val="00711B89"/>
    <w:rsid w:val="00715B51"/>
    <w:rsid w:val="007230D2"/>
    <w:rsid w:val="007261B1"/>
    <w:rsid w:val="0073050C"/>
    <w:rsid w:val="007333E3"/>
    <w:rsid w:val="00740ABD"/>
    <w:rsid w:val="00741D6C"/>
    <w:rsid w:val="00747AE2"/>
    <w:rsid w:val="0075344F"/>
    <w:rsid w:val="0075345C"/>
    <w:rsid w:val="007701E0"/>
    <w:rsid w:val="00786B7F"/>
    <w:rsid w:val="00796E05"/>
    <w:rsid w:val="007A0CC6"/>
    <w:rsid w:val="007A4AD5"/>
    <w:rsid w:val="007B4902"/>
    <w:rsid w:val="007C7F7C"/>
    <w:rsid w:val="007D1529"/>
    <w:rsid w:val="007F1DAE"/>
    <w:rsid w:val="007F387D"/>
    <w:rsid w:val="007F434D"/>
    <w:rsid w:val="007F55B1"/>
    <w:rsid w:val="00806099"/>
    <w:rsid w:val="008062EA"/>
    <w:rsid w:val="0080684D"/>
    <w:rsid w:val="00811EAB"/>
    <w:rsid w:val="00827BD3"/>
    <w:rsid w:val="00827EDA"/>
    <w:rsid w:val="008300A2"/>
    <w:rsid w:val="0083193F"/>
    <w:rsid w:val="008324D6"/>
    <w:rsid w:val="00832530"/>
    <w:rsid w:val="00833BBA"/>
    <w:rsid w:val="00834ED4"/>
    <w:rsid w:val="008470CA"/>
    <w:rsid w:val="008507F7"/>
    <w:rsid w:val="008553B4"/>
    <w:rsid w:val="00861C2B"/>
    <w:rsid w:val="0086277C"/>
    <w:rsid w:val="008650FF"/>
    <w:rsid w:val="008752B7"/>
    <w:rsid w:val="008911B3"/>
    <w:rsid w:val="00891A90"/>
    <w:rsid w:val="008945A6"/>
    <w:rsid w:val="008A6BA5"/>
    <w:rsid w:val="008B2B48"/>
    <w:rsid w:val="008B4354"/>
    <w:rsid w:val="008C371A"/>
    <w:rsid w:val="008D613A"/>
    <w:rsid w:val="008D79B3"/>
    <w:rsid w:val="008E5371"/>
    <w:rsid w:val="008E6525"/>
    <w:rsid w:val="008E66F9"/>
    <w:rsid w:val="008F0F22"/>
    <w:rsid w:val="008F20D9"/>
    <w:rsid w:val="008F3D13"/>
    <w:rsid w:val="008F452D"/>
    <w:rsid w:val="008F6A61"/>
    <w:rsid w:val="00901EFE"/>
    <w:rsid w:val="00902913"/>
    <w:rsid w:val="00903578"/>
    <w:rsid w:val="00905CE8"/>
    <w:rsid w:val="009072B9"/>
    <w:rsid w:val="009104BD"/>
    <w:rsid w:val="00914C1D"/>
    <w:rsid w:val="00916B3D"/>
    <w:rsid w:val="009200F5"/>
    <w:rsid w:val="00926925"/>
    <w:rsid w:val="00927A2A"/>
    <w:rsid w:val="00944050"/>
    <w:rsid w:val="00944D22"/>
    <w:rsid w:val="00947E9F"/>
    <w:rsid w:val="00952296"/>
    <w:rsid w:val="009526E0"/>
    <w:rsid w:val="00955274"/>
    <w:rsid w:val="00955352"/>
    <w:rsid w:val="0095631F"/>
    <w:rsid w:val="00963208"/>
    <w:rsid w:val="009665C1"/>
    <w:rsid w:val="0097435B"/>
    <w:rsid w:val="00987FCF"/>
    <w:rsid w:val="00993820"/>
    <w:rsid w:val="00994CF9"/>
    <w:rsid w:val="009A5A6E"/>
    <w:rsid w:val="009A6F2C"/>
    <w:rsid w:val="009B60BE"/>
    <w:rsid w:val="009C0FCD"/>
    <w:rsid w:val="009C3497"/>
    <w:rsid w:val="009D05CF"/>
    <w:rsid w:val="009D2B67"/>
    <w:rsid w:val="009D2F01"/>
    <w:rsid w:val="00A0195D"/>
    <w:rsid w:val="00A023B8"/>
    <w:rsid w:val="00A04460"/>
    <w:rsid w:val="00A0495D"/>
    <w:rsid w:val="00A102C4"/>
    <w:rsid w:val="00A23F0C"/>
    <w:rsid w:val="00A24169"/>
    <w:rsid w:val="00A24446"/>
    <w:rsid w:val="00A269BD"/>
    <w:rsid w:val="00A27297"/>
    <w:rsid w:val="00A32B07"/>
    <w:rsid w:val="00A35CA2"/>
    <w:rsid w:val="00A422FC"/>
    <w:rsid w:val="00A42B76"/>
    <w:rsid w:val="00A436E0"/>
    <w:rsid w:val="00A43B55"/>
    <w:rsid w:val="00A43B9F"/>
    <w:rsid w:val="00A43F06"/>
    <w:rsid w:val="00A44BD5"/>
    <w:rsid w:val="00A51FF9"/>
    <w:rsid w:val="00A7073F"/>
    <w:rsid w:val="00A71908"/>
    <w:rsid w:val="00A733C7"/>
    <w:rsid w:val="00A75989"/>
    <w:rsid w:val="00AA7D7E"/>
    <w:rsid w:val="00AC3A10"/>
    <w:rsid w:val="00AC412F"/>
    <w:rsid w:val="00AC7DEE"/>
    <w:rsid w:val="00AE56A5"/>
    <w:rsid w:val="00AF7033"/>
    <w:rsid w:val="00B102CB"/>
    <w:rsid w:val="00B10EA2"/>
    <w:rsid w:val="00B15243"/>
    <w:rsid w:val="00B231F7"/>
    <w:rsid w:val="00B23899"/>
    <w:rsid w:val="00B23DFC"/>
    <w:rsid w:val="00B433DD"/>
    <w:rsid w:val="00B43CCE"/>
    <w:rsid w:val="00B53BC7"/>
    <w:rsid w:val="00B6747A"/>
    <w:rsid w:val="00B67A60"/>
    <w:rsid w:val="00B71B8A"/>
    <w:rsid w:val="00B75963"/>
    <w:rsid w:val="00B7789D"/>
    <w:rsid w:val="00B80DD0"/>
    <w:rsid w:val="00B84774"/>
    <w:rsid w:val="00B87191"/>
    <w:rsid w:val="00B941B9"/>
    <w:rsid w:val="00B97CAF"/>
    <w:rsid w:val="00BB6196"/>
    <w:rsid w:val="00BC126C"/>
    <w:rsid w:val="00BC5031"/>
    <w:rsid w:val="00BD1EF7"/>
    <w:rsid w:val="00BD3390"/>
    <w:rsid w:val="00BE3C60"/>
    <w:rsid w:val="00BF143C"/>
    <w:rsid w:val="00BF199B"/>
    <w:rsid w:val="00C03B55"/>
    <w:rsid w:val="00C05C42"/>
    <w:rsid w:val="00C0671D"/>
    <w:rsid w:val="00C20D53"/>
    <w:rsid w:val="00C24373"/>
    <w:rsid w:val="00C24487"/>
    <w:rsid w:val="00C34BE0"/>
    <w:rsid w:val="00C41E2F"/>
    <w:rsid w:val="00C52618"/>
    <w:rsid w:val="00C5470C"/>
    <w:rsid w:val="00C56681"/>
    <w:rsid w:val="00C607FB"/>
    <w:rsid w:val="00C62945"/>
    <w:rsid w:val="00C7740D"/>
    <w:rsid w:val="00C84E7E"/>
    <w:rsid w:val="00C90242"/>
    <w:rsid w:val="00C9492F"/>
    <w:rsid w:val="00C94C31"/>
    <w:rsid w:val="00C9603D"/>
    <w:rsid w:val="00C96145"/>
    <w:rsid w:val="00CA1D89"/>
    <w:rsid w:val="00CA3E8B"/>
    <w:rsid w:val="00CA7989"/>
    <w:rsid w:val="00CB3FD0"/>
    <w:rsid w:val="00CB480C"/>
    <w:rsid w:val="00CB4B5D"/>
    <w:rsid w:val="00CB5A4F"/>
    <w:rsid w:val="00CB6460"/>
    <w:rsid w:val="00CB76A3"/>
    <w:rsid w:val="00CB7965"/>
    <w:rsid w:val="00CC5472"/>
    <w:rsid w:val="00CC76A6"/>
    <w:rsid w:val="00CD1BE9"/>
    <w:rsid w:val="00CD24AB"/>
    <w:rsid w:val="00CE2193"/>
    <w:rsid w:val="00CE5E61"/>
    <w:rsid w:val="00D15B20"/>
    <w:rsid w:val="00D30C5A"/>
    <w:rsid w:val="00D35347"/>
    <w:rsid w:val="00D41524"/>
    <w:rsid w:val="00D42CDA"/>
    <w:rsid w:val="00D50FCD"/>
    <w:rsid w:val="00D53BCB"/>
    <w:rsid w:val="00D53C90"/>
    <w:rsid w:val="00D55415"/>
    <w:rsid w:val="00D574F3"/>
    <w:rsid w:val="00D63EB7"/>
    <w:rsid w:val="00D64892"/>
    <w:rsid w:val="00D65300"/>
    <w:rsid w:val="00D733CF"/>
    <w:rsid w:val="00D921A9"/>
    <w:rsid w:val="00DA3841"/>
    <w:rsid w:val="00DA5114"/>
    <w:rsid w:val="00DB71BD"/>
    <w:rsid w:val="00DB7D50"/>
    <w:rsid w:val="00DC2D07"/>
    <w:rsid w:val="00DD2A14"/>
    <w:rsid w:val="00DD46B8"/>
    <w:rsid w:val="00DD7477"/>
    <w:rsid w:val="00E020C6"/>
    <w:rsid w:val="00E1084A"/>
    <w:rsid w:val="00E12846"/>
    <w:rsid w:val="00E15FAE"/>
    <w:rsid w:val="00E21B3E"/>
    <w:rsid w:val="00E21D39"/>
    <w:rsid w:val="00E230DC"/>
    <w:rsid w:val="00E23C9F"/>
    <w:rsid w:val="00E336F4"/>
    <w:rsid w:val="00E33D9B"/>
    <w:rsid w:val="00E3477F"/>
    <w:rsid w:val="00E34A44"/>
    <w:rsid w:val="00E40252"/>
    <w:rsid w:val="00E42681"/>
    <w:rsid w:val="00E431D1"/>
    <w:rsid w:val="00E62D41"/>
    <w:rsid w:val="00E6720F"/>
    <w:rsid w:val="00E702CA"/>
    <w:rsid w:val="00E72166"/>
    <w:rsid w:val="00E72EE4"/>
    <w:rsid w:val="00EA1814"/>
    <w:rsid w:val="00EA7B65"/>
    <w:rsid w:val="00EB6C22"/>
    <w:rsid w:val="00EC0CD7"/>
    <w:rsid w:val="00ED7051"/>
    <w:rsid w:val="00EE0FEA"/>
    <w:rsid w:val="00EE1E6E"/>
    <w:rsid w:val="00EF0899"/>
    <w:rsid w:val="00EF3D63"/>
    <w:rsid w:val="00EF3E28"/>
    <w:rsid w:val="00EF6494"/>
    <w:rsid w:val="00EF6A90"/>
    <w:rsid w:val="00F0733E"/>
    <w:rsid w:val="00F23AEB"/>
    <w:rsid w:val="00F335AB"/>
    <w:rsid w:val="00F35235"/>
    <w:rsid w:val="00F37584"/>
    <w:rsid w:val="00F41147"/>
    <w:rsid w:val="00F4251A"/>
    <w:rsid w:val="00F43429"/>
    <w:rsid w:val="00F43C78"/>
    <w:rsid w:val="00F52DAB"/>
    <w:rsid w:val="00F54863"/>
    <w:rsid w:val="00F5769B"/>
    <w:rsid w:val="00F6004F"/>
    <w:rsid w:val="00F6021D"/>
    <w:rsid w:val="00F606F0"/>
    <w:rsid w:val="00F67E88"/>
    <w:rsid w:val="00F77933"/>
    <w:rsid w:val="00F822EA"/>
    <w:rsid w:val="00F90A2C"/>
    <w:rsid w:val="00F9780F"/>
    <w:rsid w:val="00FA004F"/>
    <w:rsid w:val="00FA0094"/>
    <w:rsid w:val="00FA13DD"/>
    <w:rsid w:val="00FD00EA"/>
    <w:rsid w:val="00FD3CDB"/>
    <w:rsid w:val="00FD4CA1"/>
    <w:rsid w:val="00FD5725"/>
    <w:rsid w:val="00FD6DED"/>
    <w:rsid w:val="00FE1588"/>
    <w:rsid w:val="00FE445A"/>
    <w:rsid w:val="00FE4CA1"/>
    <w:rsid w:val="00FE5A0C"/>
    <w:rsid w:val="00FE74BA"/>
    <w:rsid w:val="00FE7ACD"/>
    <w:rsid w:val="00FE7F58"/>
    <w:rsid w:val="00FF2A76"/>
    <w:rsid w:val="00FF4BCD"/>
    <w:rsid w:val="00FF5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A20D38B0-8532-E34B-AA93-D292C91C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00"/>
    <w:rPr>
      <w:rFonts w:ascii="Times New Roman" w:hAnsi="Times New Roman" w:cs="Times New Roman"/>
    </w:rPr>
  </w:style>
  <w:style w:type="paragraph" w:styleId="Heading1">
    <w:name w:val="heading 1"/>
    <w:basedOn w:val="Normal"/>
    <w:next w:val="Normal"/>
    <w:link w:val="Heading1Char"/>
    <w:uiPriority w:val="9"/>
    <w:qFormat/>
    <w:rsid w:val="00F6021D"/>
    <w:pPr>
      <w:keepNext/>
      <w:keepLines/>
      <w:pBdr>
        <w:bottom w:val="single" w:sz="4" w:space="1" w:color="595959" w:themeColor="text1" w:themeTint="A6"/>
      </w:pBdr>
      <w:spacing w:before="360" w:after="120"/>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F6021D"/>
    <w:rPr>
      <w:rFonts w:ascii="Georgia" w:eastAsiaTheme="majorEastAsia" w:hAnsi="Georgia" w:cstheme="majorBidi"/>
      <w:bCs/>
      <w:smallCaps/>
      <w:sz w:val="36"/>
      <w:szCs w:val="36"/>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ind w:left="720"/>
      <w:contextualSpacing/>
    </w:p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character" w:customStyle="1" w:styleId="il">
    <w:name w:val="il"/>
    <w:basedOn w:val="DefaultParagraphFont"/>
    <w:rsid w:val="001D1F4F"/>
  </w:style>
  <w:style w:type="paragraph" w:styleId="NormalWeb">
    <w:name w:val="Normal (Web)"/>
    <w:basedOn w:val="Normal"/>
    <w:uiPriority w:val="99"/>
    <w:unhideWhenUsed/>
    <w:rsid w:val="00563783"/>
    <w:pPr>
      <w:spacing w:before="100" w:beforeAutospacing="1" w:after="100" w:afterAutospacing="1"/>
    </w:pPr>
  </w:style>
  <w:style w:type="paragraph" w:styleId="FootnoteText">
    <w:name w:val="footnote text"/>
    <w:basedOn w:val="Normal"/>
    <w:link w:val="FootnoteTextChar"/>
    <w:uiPriority w:val="99"/>
    <w:semiHidden/>
    <w:unhideWhenUsed/>
    <w:rsid w:val="002E6279"/>
    <w:rPr>
      <w:sz w:val="20"/>
      <w:szCs w:val="20"/>
    </w:rPr>
  </w:style>
  <w:style w:type="character" w:styleId="CommentReference">
    <w:name w:val="annotation reference"/>
    <w:basedOn w:val="DefaultParagraphFont"/>
    <w:uiPriority w:val="99"/>
    <w:semiHidden/>
    <w:unhideWhenUsed/>
    <w:rsid w:val="00F37584"/>
    <w:rPr>
      <w:sz w:val="18"/>
      <w:szCs w:val="18"/>
    </w:rPr>
  </w:style>
  <w:style w:type="paragraph" w:styleId="CommentText">
    <w:name w:val="annotation text"/>
    <w:basedOn w:val="Normal"/>
    <w:link w:val="CommentTextChar"/>
    <w:uiPriority w:val="99"/>
    <w:semiHidden/>
    <w:unhideWhenUsed/>
    <w:rsid w:val="00F37584"/>
  </w:style>
  <w:style w:type="character" w:customStyle="1" w:styleId="CommentTextChar">
    <w:name w:val="Comment Text Char"/>
    <w:basedOn w:val="DefaultParagraphFont"/>
    <w:link w:val="CommentText"/>
    <w:uiPriority w:val="99"/>
    <w:semiHidden/>
    <w:rsid w:val="00F37584"/>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F37584"/>
    <w:rPr>
      <w:b/>
      <w:bCs/>
      <w:sz w:val="20"/>
      <w:szCs w:val="20"/>
    </w:rPr>
  </w:style>
  <w:style w:type="character" w:customStyle="1" w:styleId="CommentSubjectChar">
    <w:name w:val="Comment Subject Char"/>
    <w:basedOn w:val="CommentTextChar"/>
    <w:link w:val="CommentSubject"/>
    <w:uiPriority w:val="99"/>
    <w:semiHidden/>
    <w:rsid w:val="00F37584"/>
    <w:rPr>
      <w:rFonts w:ascii="Times New Roman" w:hAnsi="Times New Roman" w:cs="Times New Roman"/>
      <w:b/>
      <w:bCs/>
      <w:sz w:val="20"/>
      <w:szCs w:val="20"/>
    </w:rPr>
  </w:style>
  <w:style w:type="paragraph" w:styleId="DocumentMap">
    <w:name w:val="Document Map"/>
    <w:basedOn w:val="Normal"/>
    <w:link w:val="DocumentMapChar"/>
    <w:uiPriority w:val="99"/>
    <w:semiHidden/>
    <w:unhideWhenUsed/>
    <w:rsid w:val="00413C96"/>
    <w:rPr>
      <w:rFonts w:ascii="Lucida Grande" w:hAnsi="Lucida Grande" w:cs="Lucida Grande"/>
    </w:rPr>
  </w:style>
  <w:style w:type="character" w:customStyle="1" w:styleId="DocumentMapChar">
    <w:name w:val="Document Map Char"/>
    <w:basedOn w:val="DefaultParagraphFont"/>
    <w:link w:val="DocumentMap"/>
    <w:uiPriority w:val="99"/>
    <w:semiHidden/>
    <w:rsid w:val="00413C96"/>
    <w:rPr>
      <w:rFonts w:ascii="Lucida Grande" w:hAnsi="Lucida Grande" w:cs="Lucida Grande"/>
    </w:rPr>
  </w:style>
  <w:style w:type="character" w:customStyle="1" w:styleId="FootnoteTextChar">
    <w:name w:val="Footnote Text Char"/>
    <w:basedOn w:val="DefaultParagraphFont"/>
    <w:link w:val="FootnoteText"/>
    <w:uiPriority w:val="99"/>
    <w:semiHidden/>
    <w:rsid w:val="002E6279"/>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E6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349258464">
      <w:bodyDiv w:val="1"/>
      <w:marLeft w:val="0"/>
      <w:marRight w:val="0"/>
      <w:marTop w:val="0"/>
      <w:marBottom w:val="0"/>
      <w:divBdr>
        <w:top w:val="none" w:sz="0" w:space="0" w:color="auto"/>
        <w:left w:val="none" w:sz="0" w:space="0" w:color="auto"/>
        <w:bottom w:val="none" w:sz="0" w:space="0" w:color="auto"/>
        <w:right w:val="none" w:sz="0" w:space="0" w:color="auto"/>
      </w:divBdr>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58961876">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884294590">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907808697">
      <w:bodyDiv w:val="1"/>
      <w:marLeft w:val="0"/>
      <w:marRight w:val="0"/>
      <w:marTop w:val="0"/>
      <w:marBottom w:val="0"/>
      <w:divBdr>
        <w:top w:val="none" w:sz="0" w:space="0" w:color="auto"/>
        <w:left w:val="none" w:sz="0" w:space="0" w:color="auto"/>
        <w:bottom w:val="none" w:sz="0" w:space="0" w:color="auto"/>
        <w:right w:val="none" w:sz="0" w:space="0" w:color="auto"/>
      </w:divBdr>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535188773">
      <w:bodyDiv w:val="1"/>
      <w:marLeft w:val="0"/>
      <w:marRight w:val="0"/>
      <w:marTop w:val="0"/>
      <w:marBottom w:val="0"/>
      <w:divBdr>
        <w:top w:val="none" w:sz="0" w:space="0" w:color="auto"/>
        <w:left w:val="none" w:sz="0" w:space="0" w:color="auto"/>
        <w:bottom w:val="none" w:sz="0" w:space="0" w:color="auto"/>
        <w:right w:val="none" w:sz="0" w:space="0" w:color="auto"/>
      </w:divBdr>
    </w:div>
    <w:div w:id="1660160391">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 w:id="2094662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kamvayouth.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3E001D-FA85-7B46-B858-8537B7B8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3</cp:revision>
  <cp:lastPrinted>2016-10-19T17:29:00Z</cp:lastPrinted>
  <dcterms:created xsi:type="dcterms:W3CDTF">2018-02-05T07:58:00Z</dcterms:created>
  <dcterms:modified xsi:type="dcterms:W3CDTF">2019-07-30T19:19:00Z</dcterms:modified>
</cp:coreProperties>
</file>