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34C9" w14:textId="77777777" w:rsidR="001E087B" w:rsidRDefault="00C05414">
      <w:pPr>
        <w:pStyle w:val="Title"/>
        <w:spacing w:after="0" w:line="240" w:lineRule="auto"/>
        <w:jc w:val="center"/>
        <w:rPr>
          <w:rFonts w:ascii="Palatino Linotype" w:eastAsia="Palatino Linotype" w:hAnsi="Palatino Linotype" w:cs="Palatino Linotype"/>
        </w:rPr>
      </w:pPr>
      <w:bookmarkStart w:id="0" w:name="_GoBack"/>
      <w:bookmarkEnd w:id="0"/>
      <w:r>
        <w:rPr>
          <w:rFonts w:ascii="Palatino Linotype" w:eastAsia="Palatino Linotype" w:hAnsi="Palatino Linotype" w:cs="Palatino Linotype"/>
        </w:rPr>
        <w:t>Tulaa</w:t>
      </w:r>
    </w:p>
    <w:p w14:paraId="4847C51B" w14:textId="77777777" w:rsidR="001E087B" w:rsidRDefault="00C05414">
      <w:pPr>
        <w:pStyle w:val="Title"/>
        <w:spacing w:after="0" w:line="240" w:lineRule="auto"/>
        <w:jc w:val="center"/>
        <w:rPr>
          <w:sz w:val="36"/>
          <w:szCs w:val="36"/>
        </w:rPr>
      </w:pPr>
      <w:r>
        <w:rPr>
          <w:sz w:val="36"/>
          <w:szCs w:val="36"/>
        </w:rPr>
        <w:t xml:space="preserve">PROVIDING MARKET ACCESS FOR SMALLHOLDER FARMERS </w:t>
      </w:r>
    </w:p>
    <w:p w14:paraId="04617E98" w14:textId="77777777" w:rsidR="001E087B" w:rsidRDefault="00C05414">
      <w:pPr>
        <w:pStyle w:val="Title"/>
        <w:spacing w:after="0" w:line="240" w:lineRule="auto"/>
        <w:jc w:val="center"/>
        <w:rPr>
          <w:sz w:val="36"/>
          <w:szCs w:val="36"/>
        </w:rPr>
      </w:pPr>
      <w:r>
        <w:rPr>
          <w:sz w:val="36"/>
          <w:szCs w:val="36"/>
        </w:rPr>
        <w:t>IN RURAL KENYA</w:t>
      </w:r>
    </w:p>
    <w:p w14:paraId="2B424DBC" w14:textId="77777777" w:rsidR="001E087B" w:rsidRDefault="00C05414">
      <w:pPr>
        <w:jc w:val="center"/>
      </w:pPr>
      <w:bookmarkStart w:id="1" w:name="_gjdgxs" w:colFirst="0" w:colLast="0"/>
      <w:bookmarkEnd w:id="1"/>
      <w:r>
        <w:rPr>
          <w:noProof/>
        </w:rPr>
        <w:drawing>
          <wp:inline distT="0" distB="0" distL="0" distR="0" wp14:anchorId="155EB042" wp14:editId="6C9C9456">
            <wp:extent cx="4717753" cy="3132965"/>
            <wp:effectExtent l="0" t="0" r="0" b="0"/>
            <wp:docPr id="2" name="image2.jpg" descr="Image result for Tulaa"/>
            <wp:cNvGraphicFramePr/>
            <a:graphic xmlns:a="http://schemas.openxmlformats.org/drawingml/2006/main">
              <a:graphicData uri="http://schemas.openxmlformats.org/drawingml/2006/picture">
                <pic:pic xmlns:pic="http://schemas.openxmlformats.org/drawingml/2006/picture">
                  <pic:nvPicPr>
                    <pic:cNvPr id="0" name="image2.jpg" descr="Image result for Tulaa"/>
                    <pic:cNvPicPr preferRelativeResize="0"/>
                  </pic:nvPicPr>
                  <pic:blipFill>
                    <a:blip r:embed="rId6"/>
                    <a:srcRect/>
                    <a:stretch>
                      <a:fillRect/>
                    </a:stretch>
                  </pic:blipFill>
                  <pic:spPr>
                    <a:xfrm>
                      <a:off x="0" y="0"/>
                      <a:ext cx="4717753" cy="3132965"/>
                    </a:xfrm>
                    <a:prstGeom prst="rect">
                      <a:avLst/>
                    </a:prstGeom>
                    <a:ln/>
                  </pic:spPr>
                </pic:pic>
              </a:graphicData>
            </a:graphic>
          </wp:inline>
        </w:drawing>
      </w:r>
    </w:p>
    <w:p w14:paraId="29ACE7D6" w14:textId="2509795F" w:rsidR="001E087B" w:rsidRDefault="009C51D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sidR="00C05414">
        <w:rPr>
          <w:rFonts w:ascii="Times New Roman" w:eastAsia="Times New Roman" w:hAnsi="Times New Roman" w:cs="Times New Roman"/>
          <w:i/>
          <w:sz w:val="24"/>
          <w:szCs w:val="24"/>
        </w:rPr>
        <w:t xml:space="preserve"> woman farmer </w:t>
      </w:r>
      <w:r>
        <w:rPr>
          <w:rFonts w:ascii="Times New Roman" w:eastAsia="Times New Roman" w:hAnsi="Times New Roman" w:cs="Times New Roman"/>
          <w:i/>
          <w:sz w:val="24"/>
          <w:szCs w:val="24"/>
        </w:rPr>
        <w:t xml:space="preserve">using mobile phone. </w:t>
      </w:r>
      <w:r w:rsidR="00C05414">
        <w:rPr>
          <w:rFonts w:ascii="Times New Roman" w:eastAsia="Times New Roman" w:hAnsi="Times New Roman" w:cs="Times New Roman"/>
          <w:i/>
          <w:sz w:val="24"/>
          <w:szCs w:val="24"/>
        </w:rPr>
        <w:t xml:space="preserve">Photo credit: </w:t>
      </w:r>
      <w:r w:rsidRPr="009C51D0">
        <w:rPr>
          <w:rFonts w:ascii="Times New Roman" w:eastAsia="Times New Roman" w:hAnsi="Times New Roman" w:cs="Times New Roman"/>
          <w:i/>
          <w:sz w:val="24"/>
          <w:szCs w:val="24"/>
        </w:rPr>
        <w:t>Neil Palmer</w:t>
      </w:r>
      <w:r w:rsidDel="009C51D0">
        <w:rPr>
          <w:rFonts w:ascii="Times New Roman" w:eastAsia="Times New Roman" w:hAnsi="Times New Roman" w:cs="Times New Roman"/>
          <w:i/>
          <w:sz w:val="24"/>
          <w:szCs w:val="24"/>
        </w:rPr>
        <w:t xml:space="preserve"> </w:t>
      </w:r>
    </w:p>
    <w:p w14:paraId="6946BB9B" w14:textId="77777777" w:rsidR="001E087B" w:rsidRDefault="00C05414">
      <w:pPr>
        <w:pStyle w:val="Heading1"/>
        <w:rPr>
          <w:b/>
        </w:rPr>
      </w:pPr>
      <w:r>
        <w:t xml:space="preserve">Executive Summary </w:t>
      </w:r>
    </w:p>
    <w:p w14:paraId="5998125B" w14:textId="1D000E10" w:rsidR="001E087B" w:rsidRDefault="00C05414" w:rsidP="00B51541">
      <w:pPr>
        <w:shd w:val="clear" w:color="auto" w:fill="FFFFFF"/>
        <w:spacing w:after="0" w:line="240" w:lineRule="auto"/>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Tulaa is a marketplace for smallholder farmers, providing them inputs, credit, agronomic advice and market linkages. The company aims to help these workers make more advantageous purchases, sales and agricultural decision-making by offering them skilled brokering, advisory services, and access to information and input financing. Their target demographic is farmers who work with horticulture crops and have about 2-2.5 acres of land. Currently, their focus is on workers in Kenya’s Rift Valley</w:t>
      </w:r>
      <w:r w:rsidR="007F423A">
        <w:rPr>
          <w:rFonts w:ascii="Times New Roman" w:eastAsia="Times New Roman" w:hAnsi="Times New Roman" w:cs="Times New Roman"/>
          <w:sz w:val="24"/>
          <w:szCs w:val="24"/>
        </w:rPr>
        <w:t xml:space="preserve"> and Eastern Kenya</w:t>
      </w:r>
      <w:r>
        <w:rPr>
          <w:rFonts w:ascii="Times New Roman" w:eastAsia="Times New Roman" w:hAnsi="Times New Roman" w:cs="Times New Roman"/>
          <w:sz w:val="24"/>
          <w:szCs w:val="24"/>
        </w:rPr>
        <w:t xml:space="preserve">, for which horticulture is a significant part of the economy. </w:t>
      </w:r>
      <w:r w:rsidR="006112D9">
        <w:rPr>
          <w:rFonts w:ascii="Times New Roman" w:eastAsia="Times New Roman" w:hAnsi="Times New Roman" w:cs="Times New Roman"/>
          <w:sz w:val="24"/>
          <w:szCs w:val="24"/>
        </w:rPr>
        <w:t xml:space="preserve">Results of an independent analysis showed that approximately 71% of the farmers have never accessed input financing before, and so were financially excluded prior to connecting with Tulaa. Despite women doing most of the labor, men represent the bulk of customers due to gender inequality in agriculture. However, 30% of Tulaa’s clientele are women. Surveyed farmers also self-report increases in incomes over the prior season, including 84% of farmers in the latest season. </w:t>
      </w:r>
      <w:r>
        <w:rPr>
          <w:rFonts w:ascii="Times New Roman" w:eastAsia="Times New Roman" w:hAnsi="Times New Roman" w:cs="Times New Roman"/>
          <w:sz w:val="24"/>
          <w:szCs w:val="24"/>
        </w:rPr>
        <w:br/>
      </w:r>
    </w:p>
    <w:p w14:paraId="3A052039" w14:textId="77777777" w:rsidR="001E087B" w:rsidRDefault="00C05414">
      <w:pPr>
        <w:shd w:val="clear" w:color="auto" w:fill="FFFFFF"/>
        <w:spacing w:after="0" w:line="240" w:lineRule="auto"/>
        <w:jc w:val="both"/>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Keywords: mobile technology, AI, financial inclusion, agriculture, rural Kenya</w:t>
      </w:r>
    </w:p>
    <w:p w14:paraId="71B20B83" w14:textId="77777777" w:rsidR="001E087B" w:rsidRDefault="001E087B"/>
    <w:p w14:paraId="56709481" w14:textId="77777777" w:rsidR="001E087B" w:rsidRDefault="00C05414">
      <w:pPr>
        <w:pStyle w:val="Heading1"/>
        <w:spacing w:before="0" w:after="0"/>
      </w:pPr>
      <w:r>
        <w:lastRenderedPageBreak/>
        <w:t>Context</w:t>
      </w:r>
    </w:p>
    <w:p w14:paraId="37FDF2B4" w14:textId="77777777" w:rsidR="001E087B" w:rsidRDefault="00C05414" w:rsidP="009C51D0">
      <w:pPr>
        <w:pBdr>
          <w:top w:val="nil"/>
          <w:left w:val="nil"/>
          <w:bottom w:val="nil"/>
          <w:right w:val="nil"/>
          <w:between w:val="nil"/>
        </w:pBdr>
        <w:spacing w:after="120" w:line="240" w:lineRule="auto"/>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Recent years have seen widespread efforts across the developing world to integrate larger swaths of the population into the economic mainstream through innovations in mobile money technology. Increased access to mobile phones have set the foundation for this, particularly as many of these digital services operate on USSD and do not require Internet.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 Kenya, over 70% of adults now have a mobile money account. This high proportion masks the disproportionately lower participation of members of the lower strata, particularly last mile agricultural workers, on these platforms. It is imperative to achieve more financial inclusion for this demographic given the critical that agriculture plays in the economy and food security. Entrepreneurs have been developing targeted digital solutions to increase financial inclusion with their challenges in mind, particularly the lack of economic identity and financial identity which effectively bars suppliers’ access to bank credit for capital and inputs. Due to these simple digital interventions, increasing numbers of smallholder farmers are increasing their productive capabilities and developing mutually beneficial market linkages with a broader set of suppliers and agribusinesses, domestically and internationally.</w:t>
      </w:r>
    </w:p>
    <w:tbl>
      <w:tblPr>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3078"/>
        <w:gridCol w:w="1566"/>
        <w:gridCol w:w="2844"/>
        <w:gridCol w:w="1748"/>
      </w:tblGrid>
      <w:tr w:rsidR="007B534A" w:rsidRPr="005E7D19" w14:paraId="21C57340" w14:textId="77777777" w:rsidTr="00032A7E">
        <w:trPr>
          <w:trHeight w:val="20"/>
        </w:trPr>
        <w:tc>
          <w:tcPr>
            <w:tcW w:w="9236" w:type="dxa"/>
            <w:gridSpan w:val="4"/>
            <w:shd w:val="clear" w:color="auto" w:fill="auto"/>
            <w:vAlign w:val="center"/>
          </w:tcPr>
          <w:p w14:paraId="7D041C7A" w14:textId="77777777" w:rsidR="007B534A" w:rsidRPr="007B534A" w:rsidRDefault="007B534A" w:rsidP="00032A7E">
            <w:pPr>
              <w:pStyle w:val="Normal1"/>
              <w:spacing w:after="0" w:line="240" w:lineRule="auto"/>
              <w:jc w:val="center"/>
              <w:rPr>
                <w:rFonts w:ascii="Times New Roman" w:eastAsia="Times New Roman" w:hAnsi="Times New Roman" w:cs="Times New Roman"/>
                <w:b/>
                <w:color w:val="auto"/>
                <w:sz w:val="24"/>
                <w:szCs w:val="24"/>
              </w:rPr>
            </w:pPr>
            <w:r w:rsidRPr="007B534A">
              <w:rPr>
                <w:rFonts w:ascii="Times New Roman" w:eastAsia="Times New Roman" w:hAnsi="Times New Roman" w:cs="Times New Roman"/>
                <w:b/>
                <w:color w:val="auto"/>
                <w:sz w:val="24"/>
                <w:szCs w:val="24"/>
              </w:rPr>
              <w:t>Kenya</w:t>
            </w:r>
          </w:p>
        </w:tc>
      </w:tr>
      <w:tr w:rsidR="007B534A" w:rsidRPr="005E7D19" w14:paraId="41371B04" w14:textId="77777777" w:rsidTr="00032A7E">
        <w:trPr>
          <w:trHeight w:val="20"/>
        </w:trPr>
        <w:tc>
          <w:tcPr>
            <w:tcW w:w="3078" w:type="dxa"/>
            <w:shd w:val="clear" w:color="auto" w:fill="auto"/>
            <w:vAlign w:val="center"/>
          </w:tcPr>
          <w:p w14:paraId="2EE32CB4" w14:textId="77777777" w:rsidR="007B534A" w:rsidRPr="007B534A" w:rsidRDefault="007B534A" w:rsidP="00032A7E">
            <w:pPr>
              <w:pStyle w:val="NoSpacing"/>
              <w:jc w:val="center"/>
              <w:rPr>
                <w:rFonts w:ascii="Times New Roman" w:hAnsi="Times New Roman" w:cs="Times New Roman"/>
                <w:b/>
                <w:bCs/>
                <w:color w:val="auto"/>
                <w:sz w:val="24"/>
              </w:rPr>
            </w:pPr>
            <w:r w:rsidRPr="007B534A">
              <w:rPr>
                <w:rFonts w:ascii="Times New Roman" w:hAnsi="Times New Roman" w:cs="Times New Roman"/>
                <w:b/>
                <w:color w:val="auto"/>
                <w:sz w:val="24"/>
              </w:rPr>
              <w:t>Population</w:t>
            </w:r>
          </w:p>
          <w:p w14:paraId="5C36AFAF" w14:textId="77777777" w:rsidR="007B534A" w:rsidRPr="005E7D19" w:rsidRDefault="007B534A" w:rsidP="00032A7E">
            <w:pPr>
              <w:pStyle w:val="NoSpacing"/>
              <w:jc w:val="center"/>
              <w:rPr>
                <w:rFonts w:ascii="Times New Roman" w:eastAsia="Times New Roman" w:hAnsi="Times New Roman" w:cs="Times New Roman"/>
                <w:color w:val="auto"/>
                <w:sz w:val="24"/>
              </w:rPr>
            </w:pPr>
            <w:r w:rsidRPr="007B534A">
              <w:rPr>
                <w:rFonts w:ascii="Times New Roman" w:hAnsi="Times New Roman" w:cs="Times New Roman"/>
                <w:b/>
                <w:color w:val="auto"/>
                <w:sz w:val="24"/>
              </w:rPr>
              <w:t>(UN, 2015)</w:t>
            </w:r>
          </w:p>
        </w:tc>
        <w:tc>
          <w:tcPr>
            <w:tcW w:w="1566" w:type="dxa"/>
            <w:shd w:val="clear" w:color="auto" w:fill="auto"/>
            <w:vAlign w:val="center"/>
          </w:tcPr>
          <w:p w14:paraId="38FEB28D"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46,748,617</w:t>
            </w:r>
          </w:p>
        </w:tc>
        <w:tc>
          <w:tcPr>
            <w:tcW w:w="2844" w:type="dxa"/>
            <w:shd w:val="clear" w:color="auto" w:fill="auto"/>
            <w:vAlign w:val="center"/>
          </w:tcPr>
          <w:p w14:paraId="1E14AD3B" w14:textId="77777777" w:rsidR="007B534A" w:rsidRPr="005E7D19" w:rsidRDefault="007B534A" w:rsidP="00032A7E">
            <w:pPr>
              <w:pStyle w:val="NoSpacing"/>
              <w:jc w:val="center"/>
              <w:rPr>
                <w:rFonts w:ascii="Times New Roman" w:hAnsi="Times New Roman" w:cs="Times New Roman"/>
                <w:b/>
                <w:color w:val="auto"/>
                <w:sz w:val="24"/>
              </w:rPr>
            </w:pPr>
            <w:r w:rsidRPr="005E7D19">
              <w:rPr>
                <w:rFonts w:ascii="Times New Roman" w:hAnsi="Times New Roman" w:cs="Times New Roman"/>
                <w:b/>
                <w:color w:val="auto"/>
                <w:sz w:val="24"/>
              </w:rPr>
              <w:t xml:space="preserve">Fixed broadband subscriptions (%) </w:t>
            </w:r>
          </w:p>
          <w:p w14:paraId="1A467A64" w14:textId="77777777" w:rsidR="007B534A" w:rsidRPr="005E7D19" w:rsidRDefault="007B534A" w:rsidP="00032A7E">
            <w:pPr>
              <w:pStyle w:val="NoSpacing"/>
              <w:jc w:val="center"/>
              <w:rPr>
                <w:rFonts w:ascii="Times New Roman" w:eastAsia="Times New Roman" w:hAnsi="Times New Roman" w:cs="Times New Roman"/>
                <w:b/>
                <w:color w:val="auto"/>
                <w:sz w:val="24"/>
              </w:rPr>
            </w:pPr>
            <w:r w:rsidRPr="005E7D19">
              <w:rPr>
                <w:rFonts w:ascii="Times New Roman" w:hAnsi="Times New Roman" w:cs="Times New Roman"/>
                <w:b/>
                <w:color w:val="auto"/>
                <w:sz w:val="24"/>
              </w:rPr>
              <w:t>(ITU, 2016)</w:t>
            </w:r>
          </w:p>
        </w:tc>
        <w:tc>
          <w:tcPr>
            <w:tcW w:w="1748" w:type="dxa"/>
            <w:shd w:val="clear" w:color="auto" w:fill="auto"/>
            <w:vAlign w:val="center"/>
          </w:tcPr>
          <w:p w14:paraId="1CD20C85"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0.33</w:t>
            </w:r>
          </w:p>
        </w:tc>
      </w:tr>
      <w:tr w:rsidR="007B534A" w:rsidRPr="005E7D19" w14:paraId="14E3D886" w14:textId="77777777" w:rsidTr="00032A7E">
        <w:trPr>
          <w:trHeight w:val="20"/>
        </w:trPr>
        <w:tc>
          <w:tcPr>
            <w:tcW w:w="3078" w:type="dxa"/>
            <w:shd w:val="clear" w:color="auto" w:fill="auto"/>
            <w:vAlign w:val="center"/>
          </w:tcPr>
          <w:p w14:paraId="7A1433FA" w14:textId="77777777" w:rsidR="007B534A" w:rsidRPr="007B534A" w:rsidRDefault="007B534A" w:rsidP="00032A7E">
            <w:pPr>
              <w:pStyle w:val="NoSpacing"/>
              <w:jc w:val="center"/>
              <w:rPr>
                <w:rFonts w:ascii="Times New Roman" w:eastAsia="Times New Roman" w:hAnsi="Times New Roman" w:cs="Times New Roman"/>
                <w:b/>
                <w:bCs/>
                <w:color w:val="auto"/>
                <w:sz w:val="24"/>
              </w:rPr>
            </w:pPr>
            <w:r w:rsidRPr="007B534A">
              <w:rPr>
                <w:rFonts w:ascii="Times New Roman" w:eastAsia="Times New Roman" w:hAnsi="Times New Roman" w:cs="Times New Roman"/>
                <w:b/>
                <w:bCs/>
                <w:color w:val="auto"/>
                <w:sz w:val="24"/>
              </w:rPr>
              <w:t xml:space="preserve">Population density </w:t>
            </w:r>
          </w:p>
          <w:p w14:paraId="741B019E" w14:textId="77777777" w:rsidR="007B534A" w:rsidRPr="007B534A" w:rsidRDefault="007B534A" w:rsidP="00032A7E">
            <w:pPr>
              <w:pStyle w:val="NoSpacing"/>
              <w:jc w:val="center"/>
              <w:rPr>
                <w:rFonts w:ascii="Times New Roman" w:eastAsia="Times New Roman" w:hAnsi="Times New Roman" w:cs="Times New Roman"/>
                <w:b/>
                <w:color w:val="auto"/>
                <w:sz w:val="24"/>
                <w:szCs w:val="21"/>
              </w:rPr>
            </w:pPr>
            <w:r w:rsidRPr="007B534A">
              <w:rPr>
                <w:rFonts w:ascii="Times New Roman" w:eastAsia="Times New Roman" w:hAnsi="Times New Roman" w:cs="Times New Roman"/>
                <w:b/>
                <w:bCs/>
                <w:color w:val="auto"/>
                <w:sz w:val="24"/>
              </w:rPr>
              <w:t>(people per sq.km)</w:t>
            </w:r>
          </w:p>
          <w:p w14:paraId="4B19F7B8" w14:textId="77777777" w:rsidR="007B534A" w:rsidRPr="005E7D19" w:rsidRDefault="007B534A" w:rsidP="00032A7E">
            <w:pPr>
              <w:pStyle w:val="NoSpacing"/>
              <w:jc w:val="center"/>
              <w:rPr>
                <w:rFonts w:ascii="Times New Roman" w:eastAsia="Times New Roman" w:hAnsi="Times New Roman" w:cs="Times New Roman"/>
                <w:color w:val="auto"/>
                <w:sz w:val="24"/>
              </w:rPr>
            </w:pPr>
            <w:r w:rsidRPr="007B534A">
              <w:rPr>
                <w:rFonts w:ascii="Times New Roman" w:eastAsia="Times New Roman" w:hAnsi="Times New Roman" w:cs="Times New Roman"/>
                <w:b/>
                <w:bCs/>
                <w:color w:val="auto"/>
                <w:sz w:val="24"/>
              </w:rPr>
              <w:t>(UN, 2015)</w:t>
            </w:r>
          </w:p>
        </w:tc>
        <w:tc>
          <w:tcPr>
            <w:tcW w:w="1566" w:type="dxa"/>
            <w:shd w:val="clear" w:color="auto" w:fill="auto"/>
            <w:vAlign w:val="center"/>
          </w:tcPr>
          <w:p w14:paraId="3E412848"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80.55</w:t>
            </w:r>
          </w:p>
        </w:tc>
        <w:tc>
          <w:tcPr>
            <w:tcW w:w="2844" w:type="dxa"/>
            <w:shd w:val="clear" w:color="auto" w:fill="auto"/>
            <w:vAlign w:val="center"/>
          </w:tcPr>
          <w:p w14:paraId="64B33536" w14:textId="77777777" w:rsidR="007B534A" w:rsidRPr="005E7D19" w:rsidRDefault="007B534A" w:rsidP="00032A7E">
            <w:pPr>
              <w:pStyle w:val="NoSpacing"/>
              <w:jc w:val="center"/>
              <w:rPr>
                <w:rFonts w:ascii="Times New Roman" w:hAnsi="Times New Roman" w:cs="Times New Roman"/>
                <w:b/>
                <w:color w:val="auto"/>
                <w:sz w:val="24"/>
              </w:rPr>
            </w:pPr>
            <w:r w:rsidRPr="005E7D19">
              <w:rPr>
                <w:rFonts w:ascii="Times New Roman" w:hAnsi="Times New Roman" w:cs="Times New Roman"/>
                <w:b/>
                <w:color w:val="auto"/>
                <w:sz w:val="24"/>
              </w:rPr>
              <w:t>Mobile cellular subscriptions (%)</w:t>
            </w:r>
          </w:p>
          <w:p w14:paraId="4A0D3767" w14:textId="77777777" w:rsidR="007B534A" w:rsidRPr="005E7D19" w:rsidRDefault="007B534A" w:rsidP="00032A7E">
            <w:pPr>
              <w:pStyle w:val="NoSpacing"/>
              <w:jc w:val="center"/>
              <w:rPr>
                <w:rFonts w:ascii="Times New Roman" w:eastAsia="Times New Roman" w:hAnsi="Times New Roman" w:cs="Times New Roman"/>
                <w:b/>
                <w:color w:val="auto"/>
                <w:sz w:val="24"/>
              </w:rPr>
            </w:pPr>
            <w:r w:rsidRPr="005E7D19">
              <w:rPr>
                <w:rFonts w:ascii="Times New Roman" w:hAnsi="Times New Roman" w:cs="Times New Roman"/>
                <w:b/>
                <w:color w:val="auto"/>
                <w:sz w:val="24"/>
              </w:rPr>
              <w:t xml:space="preserve"> (ITU, 2016)</w:t>
            </w:r>
          </w:p>
        </w:tc>
        <w:tc>
          <w:tcPr>
            <w:tcW w:w="1748" w:type="dxa"/>
            <w:shd w:val="clear" w:color="auto" w:fill="auto"/>
            <w:vAlign w:val="center"/>
          </w:tcPr>
          <w:p w14:paraId="78133BA3"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81.28</w:t>
            </w:r>
          </w:p>
        </w:tc>
      </w:tr>
      <w:tr w:rsidR="007B534A" w:rsidRPr="005E7D19" w14:paraId="760BE755" w14:textId="77777777" w:rsidTr="00032A7E">
        <w:trPr>
          <w:trHeight w:val="20"/>
        </w:trPr>
        <w:tc>
          <w:tcPr>
            <w:tcW w:w="3078" w:type="dxa"/>
            <w:shd w:val="clear" w:color="auto" w:fill="auto"/>
            <w:vAlign w:val="center"/>
          </w:tcPr>
          <w:p w14:paraId="03F64D59" w14:textId="77777777" w:rsidR="007B534A" w:rsidRPr="007B534A" w:rsidRDefault="007B534A" w:rsidP="00032A7E">
            <w:pPr>
              <w:pStyle w:val="NoSpacing"/>
              <w:jc w:val="center"/>
              <w:rPr>
                <w:rFonts w:ascii="Times New Roman" w:eastAsia="Times New Roman" w:hAnsi="Times New Roman" w:cs="Times New Roman"/>
                <w:b/>
                <w:color w:val="auto"/>
                <w:sz w:val="24"/>
                <w:szCs w:val="21"/>
              </w:rPr>
            </w:pPr>
            <w:r w:rsidRPr="007B534A">
              <w:rPr>
                <w:rFonts w:ascii="Times New Roman" w:eastAsia="Times New Roman" w:hAnsi="Times New Roman" w:cs="Times New Roman"/>
                <w:b/>
                <w:bCs/>
                <w:color w:val="auto"/>
                <w:sz w:val="24"/>
              </w:rPr>
              <w:t>Median household income</w:t>
            </w:r>
          </w:p>
          <w:p w14:paraId="1B01F972" w14:textId="77777777" w:rsidR="007B534A" w:rsidRPr="005E7D19" w:rsidRDefault="007B534A" w:rsidP="00032A7E">
            <w:pPr>
              <w:pStyle w:val="NoSpacing"/>
              <w:jc w:val="center"/>
              <w:rPr>
                <w:rFonts w:ascii="Times New Roman" w:eastAsia="Times New Roman" w:hAnsi="Times New Roman" w:cs="Times New Roman"/>
                <w:color w:val="auto"/>
                <w:sz w:val="24"/>
              </w:rPr>
            </w:pPr>
            <w:r w:rsidRPr="007B534A">
              <w:rPr>
                <w:rFonts w:ascii="Times New Roman" w:eastAsia="Times New Roman" w:hAnsi="Times New Roman" w:cs="Times New Roman"/>
                <w:b/>
                <w:bCs/>
                <w:color w:val="auto"/>
                <w:sz w:val="24"/>
              </w:rPr>
              <w:t>(Gallup, 2006-2012)</w:t>
            </w:r>
          </w:p>
        </w:tc>
        <w:tc>
          <w:tcPr>
            <w:tcW w:w="1566" w:type="dxa"/>
            <w:shd w:val="clear" w:color="auto" w:fill="auto"/>
            <w:vAlign w:val="center"/>
          </w:tcPr>
          <w:p w14:paraId="35CB410A"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US$ 1,870</w:t>
            </w:r>
          </w:p>
        </w:tc>
        <w:tc>
          <w:tcPr>
            <w:tcW w:w="2844" w:type="dxa"/>
            <w:shd w:val="clear" w:color="auto" w:fill="auto"/>
            <w:vAlign w:val="center"/>
          </w:tcPr>
          <w:p w14:paraId="518AE011" w14:textId="77777777" w:rsidR="007B534A" w:rsidRPr="005E7D19" w:rsidRDefault="007B534A" w:rsidP="00032A7E">
            <w:pPr>
              <w:pStyle w:val="NoSpacing"/>
              <w:jc w:val="center"/>
              <w:rPr>
                <w:rFonts w:ascii="Times New Roman" w:hAnsi="Times New Roman" w:cs="Times New Roman"/>
                <w:b/>
                <w:color w:val="auto"/>
                <w:sz w:val="24"/>
              </w:rPr>
            </w:pPr>
            <w:r w:rsidRPr="005E7D19">
              <w:rPr>
                <w:rFonts w:ascii="Times New Roman" w:hAnsi="Times New Roman" w:cs="Times New Roman"/>
                <w:b/>
                <w:color w:val="auto"/>
                <w:sz w:val="24"/>
              </w:rPr>
              <w:t xml:space="preserve">Individuals using the Internet (%) </w:t>
            </w:r>
          </w:p>
          <w:p w14:paraId="57C2D84C" w14:textId="77777777" w:rsidR="007B534A" w:rsidRPr="005E7D19" w:rsidRDefault="007B534A" w:rsidP="00032A7E">
            <w:pPr>
              <w:pStyle w:val="NoSpacing"/>
              <w:jc w:val="center"/>
              <w:rPr>
                <w:rFonts w:ascii="Times New Roman" w:eastAsia="Times New Roman" w:hAnsi="Times New Roman" w:cs="Times New Roman"/>
                <w:b/>
                <w:color w:val="auto"/>
                <w:sz w:val="24"/>
              </w:rPr>
            </w:pPr>
            <w:r w:rsidRPr="005E7D19">
              <w:rPr>
                <w:rFonts w:ascii="Times New Roman" w:hAnsi="Times New Roman" w:cs="Times New Roman"/>
                <w:b/>
                <w:color w:val="auto"/>
                <w:sz w:val="24"/>
              </w:rPr>
              <w:t>(ITU, 2016)</w:t>
            </w:r>
          </w:p>
        </w:tc>
        <w:tc>
          <w:tcPr>
            <w:tcW w:w="1748" w:type="dxa"/>
            <w:shd w:val="clear" w:color="auto" w:fill="auto"/>
            <w:vAlign w:val="center"/>
          </w:tcPr>
          <w:p w14:paraId="68F0B991"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26</w:t>
            </w:r>
          </w:p>
        </w:tc>
      </w:tr>
      <w:tr w:rsidR="007B534A" w:rsidRPr="005E7D19" w14:paraId="08CD23FB" w14:textId="77777777" w:rsidTr="00032A7E">
        <w:trPr>
          <w:trHeight w:val="20"/>
        </w:trPr>
        <w:tc>
          <w:tcPr>
            <w:tcW w:w="3078" w:type="dxa"/>
            <w:shd w:val="clear" w:color="auto" w:fill="auto"/>
            <w:vAlign w:val="center"/>
          </w:tcPr>
          <w:p w14:paraId="41B6AB27" w14:textId="77777777" w:rsidR="007B534A" w:rsidRPr="007B534A" w:rsidRDefault="007B534A" w:rsidP="00032A7E">
            <w:pPr>
              <w:pStyle w:val="NoSpacing"/>
              <w:jc w:val="center"/>
              <w:rPr>
                <w:rFonts w:ascii="Times New Roman" w:hAnsi="Times New Roman" w:cs="Times New Roman"/>
                <w:b/>
                <w:color w:val="auto"/>
                <w:sz w:val="24"/>
              </w:rPr>
            </w:pPr>
            <w:r w:rsidRPr="007B534A">
              <w:rPr>
                <w:rFonts w:ascii="Times New Roman" w:hAnsi="Times New Roman" w:cs="Times New Roman"/>
                <w:b/>
                <w:color w:val="auto"/>
                <w:sz w:val="24"/>
              </w:rPr>
              <w:t xml:space="preserve">Education </w:t>
            </w:r>
          </w:p>
          <w:p w14:paraId="17D0DA00" w14:textId="77777777" w:rsidR="007B534A" w:rsidRPr="007B534A" w:rsidRDefault="007B534A" w:rsidP="00032A7E">
            <w:pPr>
              <w:pStyle w:val="NoSpacing"/>
              <w:jc w:val="center"/>
              <w:rPr>
                <w:rFonts w:ascii="Times New Roman" w:hAnsi="Times New Roman" w:cs="Times New Roman"/>
                <w:b/>
                <w:color w:val="auto"/>
                <w:sz w:val="24"/>
              </w:rPr>
            </w:pPr>
            <w:r w:rsidRPr="007B534A">
              <w:rPr>
                <w:rFonts w:ascii="Times New Roman" w:hAnsi="Times New Roman" w:cs="Times New Roman"/>
                <w:b/>
                <w:color w:val="auto"/>
                <w:sz w:val="24"/>
              </w:rPr>
              <w:t xml:space="preserve">(Mean years of schooling) </w:t>
            </w:r>
          </w:p>
          <w:p w14:paraId="4247FBE1" w14:textId="77777777" w:rsidR="007B534A" w:rsidRPr="005E7D19" w:rsidRDefault="007B534A" w:rsidP="00032A7E">
            <w:pPr>
              <w:pStyle w:val="NoSpacing"/>
              <w:jc w:val="center"/>
              <w:rPr>
                <w:rFonts w:ascii="Times New Roman" w:eastAsia="Times New Roman" w:hAnsi="Times New Roman" w:cs="Times New Roman"/>
                <w:color w:val="auto"/>
                <w:sz w:val="24"/>
              </w:rPr>
            </w:pPr>
            <w:r w:rsidRPr="007B534A">
              <w:rPr>
                <w:rFonts w:ascii="Times New Roman" w:hAnsi="Times New Roman" w:cs="Times New Roman"/>
                <w:b/>
                <w:color w:val="auto"/>
                <w:sz w:val="24"/>
              </w:rPr>
              <w:t>(UNDP, 2013)</w:t>
            </w:r>
          </w:p>
        </w:tc>
        <w:tc>
          <w:tcPr>
            <w:tcW w:w="1566" w:type="dxa"/>
            <w:shd w:val="clear" w:color="auto" w:fill="auto"/>
            <w:vAlign w:val="center"/>
          </w:tcPr>
          <w:p w14:paraId="5E96C452" w14:textId="77777777" w:rsidR="007B534A" w:rsidRPr="005E7D19" w:rsidRDefault="007B534A" w:rsidP="00032A7E">
            <w:pPr>
              <w:pStyle w:val="NoSpacing"/>
              <w:jc w:val="center"/>
              <w:rPr>
                <w:rFonts w:ascii="Times New Roman" w:hAnsi="Times New Roman" w:cs="Times New Roman"/>
                <w:color w:val="auto"/>
                <w:sz w:val="24"/>
              </w:rPr>
            </w:pPr>
            <w:r w:rsidRPr="005E7D19">
              <w:rPr>
                <w:rFonts w:ascii="Times New Roman" w:hAnsi="Times New Roman" w:cs="Times New Roman"/>
                <w:color w:val="auto"/>
                <w:sz w:val="24"/>
              </w:rPr>
              <w:t>Male: 7.1</w:t>
            </w:r>
          </w:p>
          <w:p w14:paraId="58F678F8" w14:textId="77777777" w:rsidR="007B534A" w:rsidRPr="005E7D19" w:rsidRDefault="007B534A" w:rsidP="00032A7E">
            <w:pPr>
              <w:pStyle w:val="NoSpacing"/>
              <w:jc w:val="center"/>
              <w:rPr>
                <w:rFonts w:eastAsia="Times New Roman"/>
                <w:color w:val="auto"/>
              </w:rPr>
            </w:pPr>
            <w:r w:rsidRPr="005E7D19">
              <w:rPr>
                <w:rFonts w:ascii="Times New Roman" w:hAnsi="Times New Roman" w:cs="Times New Roman"/>
                <w:color w:val="auto"/>
                <w:sz w:val="24"/>
              </w:rPr>
              <w:t>Female: 5.4</w:t>
            </w:r>
          </w:p>
        </w:tc>
        <w:tc>
          <w:tcPr>
            <w:tcW w:w="2844" w:type="dxa"/>
            <w:shd w:val="clear" w:color="auto" w:fill="auto"/>
            <w:vAlign w:val="center"/>
          </w:tcPr>
          <w:p w14:paraId="028BB39D" w14:textId="77777777" w:rsidR="007B534A" w:rsidRPr="005E7D19" w:rsidRDefault="007B534A" w:rsidP="00032A7E">
            <w:pPr>
              <w:pStyle w:val="NoSpacing"/>
              <w:jc w:val="center"/>
              <w:rPr>
                <w:rFonts w:ascii="Times New Roman" w:eastAsia="Times New Roman" w:hAnsi="Times New Roman" w:cs="Times New Roman"/>
                <w:b/>
                <w:color w:val="auto"/>
                <w:sz w:val="24"/>
              </w:rPr>
            </w:pPr>
            <w:r w:rsidRPr="005E7D19">
              <w:rPr>
                <w:rFonts w:ascii="Times New Roman" w:hAnsi="Times New Roman" w:cs="Times New Roman"/>
                <w:b/>
                <w:color w:val="auto"/>
                <w:sz w:val="24"/>
              </w:rPr>
              <w:t>Individuals using the Internet by Gender (%) (ITU, 2016)</w:t>
            </w:r>
          </w:p>
        </w:tc>
        <w:tc>
          <w:tcPr>
            <w:tcW w:w="1748" w:type="dxa"/>
            <w:shd w:val="clear" w:color="auto" w:fill="auto"/>
            <w:vAlign w:val="center"/>
          </w:tcPr>
          <w:p w14:paraId="447648A1" w14:textId="77777777" w:rsidR="007B534A" w:rsidRPr="005E7D19" w:rsidRDefault="007B534A" w:rsidP="00032A7E">
            <w:pPr>
              <w:pStyle w:val="Normal1"/>
              <w:spacing w:after="0" w:line="240" w:lineRule="auto"/>
              <w:jc w:val="center"/>
              <w:rPr>
                <w:rFonts w:ascii="Times New Roman" w:eastAsia="Times New Roman" w:hAnsi="Times New Roman" w:cs="Times New Roman"/>
                <w:color w:val="auto"/>
                <w:sz w:val="24"/>
                <w:szCs w:val="24"/>
              </w:rPr>
            </w:pPr>
            <w:r w:rsidRPr="005E7D19">
              <w:rPr>
                <w:rFonts w:ascii="Times New Roman" w:hAnsi="Times New Roman" w:cs="Times New Roman"/>
                <w:color w:val="auto"/>
                <w:sz w:val="24"/>
                <w:szCs w:val="24"/>
              </w:rPr>
              <w:t>N/A</w:t>
            </w:r>
          </w:p>
        </w:tc>
      </w:tr>
    </w:tbl>
    <w:p w14:paraId="6AB0324E" w14:textId="40EA1658" w:rsidR="001E087B" w:rsidRDefault="00C05414">
      <w:pPr>
        <w:pStyle w:val="Heading1"/>
        <w:rPr>
          <w:b/>
        </w:rPr>
      </w:pPr>
      <w:r>
        <w:t>Project Description</w:t>
      </w:r>
    </w:p>
    <w:p w14:paraId="0486C94F" w14:textId="4D78974E" w:rsidR="001E087B" w:rsidRDefault="00C05414" w:rsidP="009C51D0">
      <w:pPr>
        <w:spacing w:after="0" w:line="240" w:lineRule="auto"/>
        <w:jc w:val="both"/>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color w:val="000000"/>
          <w:sz w:val="24"/>
          <w:szCs w:val="24"/>
          <w:highlight w:val="white"/>
        </w:rPr>
        <w:t xml:space="preserve">Tulaa, named after a Sanskrit term for "balance” or "equal measure,” leverages mobile technology and artificial intelligence to create an equal playing field in the agricultural supply chain by giving smallholder farmers access to inputs, finance, information and markets in the virtual marketplace. The company was founded in mid-2017, and has since served the Rift Valley </w:t>
      </w:r>
      <w:r w:rsidR="00483CF1">
        <w:rPr>
          <w:rFonts w:ascii="Times New Roman" w:eastAsia="Times New Roman" w:hAnsi="Times New Roman" w:cs="Times New Roman"/>
          <w:color w:val="000000"/>
          <w:sz w:val="24"/>
          <w:szCs w:val="24"/>
          <w:highlight w:val="white"/>
        </w:rPr>
        <w:t>and Eastern</w:t>
      </w:r>
      <w:r>
        <w:rPr>
          <w:rFonts w:ascii="Times New Roman" w:eastAsia="Times New Roman" w:hAnsi="Times New Roman" w:cs="Times New Roman"/>
          <w:color w:val="000000"/>
          <w:sz w:val="24"/>
          <w:szCs w:val="24"/>
          <w:highlight w:val="white"/>
        </w:rPr>
        <w:t xml:space="preserve"> Kenya, where horticultural crop farming thrives. The majority of farmers who use the platform, literate and semi-literate rural</w:t>
      </w:r>
      <w:r w:rsidR="00483CF1">
        <w:rPr>
          <w:rFonts w:ascii="Times New Roman" w:eastAsia="Times New Roman" w:hAnsi="Times New Roman" w:cs="Times New Roman"/>
          <w:color w:val="000000"/>
          <w:sz w:val="24"/>
          <w:szCs w:val="24"/>
          <w:highlight w:val="white"/>
        </w:rPr>
        <w:t xml:space="preserve"> communities</w:t>
      </w:r>
      <w:r>
        <w:rPr>
          <w:rFonts w:ascii="Times New Roman" w:eastAsia="Times New Roman" w:hAnsi="Times New Roman" w:cs="Times New Roman"/>
          <w:color w:val="000000"/>
          <w:sz w:val="24"/>
          <w:szCs w:val="24"/>
          <w:highlight w:val="white"/>
        </w:rPr>
        <w:t>, report never having had access to input financing before Tulaa. They also lacked prior access to information and connections that would make them more competitive in the industry.</w:t>
      </w:r>
      <w:r w:rsidR="00DB2FB0">
        <w:rPr>
          <w:rFonts w:ascii="Times New Roman" w:eastAsia="Times New Roman" w:hAnsi="Times New Roman" w:cs="Times New Roman"/>
          <w:color w:val="000000"/>
          <w:sz w:val="24"/>
          <w:szCs w:val="24"/>
          <w:highlight w:val="white"/>
        </w:rPr>
        <w:t xml:space="preserve"> Tulaa helps these suppliers </w:t>
      </w:r>
      <w:r>
        <w:rPr>
          <w:rFonts w:ascii="Times New Roman" w:eastAsia="Times New Roman" w:hAnsi="Times New Roman" w:cs="Times New Roman"/>
          <w:color w:val="000000"/>
          <w:sz w:val="24"/>
          <w:szCs w:val="24"/>
          <w:highlight w:val="white"/>
        </w:rPr>
        <w:t xml:space="preserve">make more profit by connecting them to sellers who are outside of their immediate market and relieving them of exploitative brokers. In these ways, the platform has made inroads into financial inclusion for last mile workers.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Use of the technology does not require access to Internet, only access to a cell phone (as payments are USSD-based). Farmers</w:t>
      </w:r>
      <w:r>
        <w:rPr>
          <w:rFonts w:ascii="Times New Roman" w:eastAsia="Times New Roman" w:hAnsi="Times New Roman" w:cs="Times New Roman"/>
          <w:sz w:val="24"/>
          <w:szCs w:val="24"/>
        </w:rPr>
        <w:t xml:space="preserve"> can place orders for inputs and apply for loans through the platform. If they are approved for a loan, they are sent an electronic voucher to have their order fulfilled by their nearest retailer who also uses the Tulaa app. During the season, the company also sends them agronomic information over SMS, and has a year-round, 1</w:t>
      </w:r>
      <w:r w:rsidR="00483CF1">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-person-staff (and growing) call center that operates from 8am </w:t>
      </w:r>
      <w:r>
        <w:rPr>
          <w:rFonts w:ascii="Times New Roman" w:eastAsia="Times New Roman" w:hAnsi="Times New Roman" w:cs="Times New Roman"/>
          <w:color w:val="000000"/>
          <w:sz w:val="24"/>
          <w:szCs w:val="24"/>
        </w:rPr>
        <w:t xml:space="preserve">to 5pm six days a week to answer agronomy inquiries from farmers. While on-the-ground agronomic training is too costly, Tulaa has field agents for customer recruitment and </w:t>
      </w:r>
      <w:r>
        <w:rPr>
          <w:rFonts w:ascii="Times New Roman" w:eastAsia="Times New Roman" w:hAnsi="Times New Roman" w:cs="Times New Roman"/>
          <w:color w:val="000000"/>
          <w:sz w:val="24"/>
          <w:szCs w:val="24"/>
          <w:highlight w:val="white"/>
        </w:rPr>
        <w:t>registration, input selection and loan applications.</w:t>
      </w:r>
      <w:r>
        <w:rPr>
          <w:rFonts w:ascii="Times New Roman" w:eastAsia="Times New Roman" w:hAnsi="Times New Roman" w:cs="Times New Roman"/>
          <w:sz w:val="24"/>
          <w:szCs w:val="24"/>
        </w:rPr>
        <w:t xml:space="preserve"> These agents are usually well-respected, tech-savvy farmers, which helps build trust with farmers using the service.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Before harvest, the farmers make bookings with the company—sharing when they will harvest, their prospective yield, and how much they wish to sell on the platform—so that sales can be planned effectively. The company is working on making this process more efficient by building Android applications, algorithms and AI to automate the matching of buyers and sellers. It continues to work on quality improvement using data derived primarily from customer feedback surveys and net promoter score surveys.</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highlight w:val="white"/>
        </w:rPr>
        <w:br/>
        <w:t xml:space="preserve">Tulaa’s business model includes three streams of revenue: </w:t>
      </w:r>
      <w:r>
        <w:rPr>
          <w:rFonts w:ascii="Times New Roman" w:eastAsia="Times New Roman" w:hAnsi="Times New Roman" w:cs="Times New Roman"/>
          <w:sz w:val="24"/>
          <w:szCs w:val="24"/>
        </w:rPr>
        <w:t xml:space="preserve">a margin on inputs sold, a margin on credit (including a ~2.5% monthly interest rate), and a margin on off-take transactions (the sale of produce). It raised about $900,000 in equity last year, raised about $600,000 in debt this year, and received approximately $750,000 in grant funding. Tulaa </w:t>
      </w:r>
      <w:r w:rsidR="007F423A">
        <w:rPr>
          <w:rFonts w:ascii="Times New Roman" w:eastAsia="Times New Roman" w:hAnsi="Times New Roman" w:cs="Times New Roman"/>
          <w:sz w:val="24"/>
          <w:szCs w:val="24"/>
        </w:rPr>
        <w:t xml:space="preserve">works with a number of multinational companies such as Toyota, Syngenta, and OCP, and is supported by investors including </w:t>
      </w:r>
      <w:r w:rsidR="003E66C3">
        <w:rPr>
          <w:rFonts w:ascii="Times New Roman" w:eastAsia="Times New Roman" w:hAnsi="Times New Roman" w:cs="Times New Roman"/>
          <w:sz w:val="24"/>
          <w:szCs w:val="24"/>
        </w:rPr>
        <w:t xml:space="preserve">Global Partnerships, </w:t>
      </w:r>
      <w:r w:rsidR="008841C8">
        <w:rPr>
          <w:rFonts w:ascii="Times New Roman" w:eastAsia="Times New Roman" w:hAnsi="Times New Roman" w:cs="Times New Roman"/>
          <w:sz w:val="24"/>
          <w:szCs w:val="24"/>
        </w:rPr>
        <w:t>Beyond C</w:t>
      </w:r>
      <w:r w:rsidR="003E66C3">
        <w:rPr>
          <w:rFonts w:ascii="Times New Roman" w:eastAsia="Times New Roman" w:hAnsi="Times New Roman" w:cs="Times New Roman"/>
          <w:sz w:val="24"/>
          <w:szCs w:val="24"/>
        </w:rPr>
        <w:t>apital</w:t>
      </w:r>
      <w:r w:rsidR="008841C8">
        <w:rPr>
          <w:rFonts w:ascii="Times New Roman" w:eastAsia="Times New Roman" w:hAnsi="Times New Roman" w:cs="Times New Roman"/>
          <w:sz w:val="24"/>
          <w:szCs w:val="24"/>
        </w:rPr>
        <w:t xml:space="preserve"> F</w:t>
      </w:r>
      <w:r w:rsidR="003E66C3">
        <w:rPr>
          <w:rFonts w:ascii="Times New Roman" w:eastAsia="Times New Roman" w:hAnsi="Times New Roman" w:cs="Times New Roman"/>
          <w:sz w:val="24"/>
          <w:szCs w:val="24"/>
        </w:rPr>
        <w:t>und, AHL Venture Partners, and Acumen</w:t>
      </w:r>
      <w:r w:rsidR="007F423A">
        <w:rPr>
          <w:rFonts w:ascii="Times New Roman" w:eastAsia="Times New Roman" w:hAnsi="Times New Roman" w:cs="Times New Roman"/>
          <w:sz w:val="24"/>
          <w:szCs w:val="24"/>
        </w:rPr>
        <w:t xml:space="preserve"> Fund.</w:t>
      </w:r>
      <w:r w:rsidR="003E6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sz w:val="24"/>
          <w:szCs w:val="24"/>
        </w:rPr>
        <w:t>There are a couple of factors that make Tulaa unique among other sim</w:t>
      </w:r>
      <w:r w:rsidR="00B84EE0">
        <w:rPr>
          <w:rFonts w:ascii="Times New Roman" w:eastAsia="Times New Roman" w:hAnsi="Times New Roman" w:cs="Times New Roman"/>
          <w:sz w:val="24"/>
          <w:szCs w:val="24"/>
        </w:rPr>
        <w:t>ilarly placed organizations. First, i</w:t>
      </w:r>
      <w:r>
        <w:rPr>
          <w:rFonts w:ascii="Times New Roman" w:eastAsia="Times New Roman" w:hAnsi="Times New Roman" w:cs="Times New Roman"/>
          <w:sz w:val="24"/>
          <w:szCs w:val="24"/>
        </w:rPr>
        <w:t xml:space="preserve">t is </w:t>
      </w:r>
      <w:r w:rsidR="007F423A">
        <w:rPr>
          <w:rFonts w:ascii="Times New Roman" w:eastAsia="Times New Roman" w:hAnsi="Times New Roman" w:cs="Times New Roman"/>
          <w:sz w:val="24"/>
          <w:szCs w:val="24"/>
        </w:rPr>
        <w:t xml:space="preserve">one of </w:t>
      </w:r>
      <w:r>
        <w:rPr>
          <w:rFonts w:ascii="Times New Roman" w:eastAsia="Times New Roman" w:hAnsi="Times New Roman" w:cs="Times New Roman"/>
          <w:sz w:val="24"/>
          <w:szCs w:val="24"/>
        </w:rPr>
        <w:t>the only end-to-end marketplace for farmers</w:t>
      </w:r>
      <w:r w:rsidR="007F423A">
        <w:rPr>
          <w:rFonts w:ascii="Times New Roman" w:eastAsia="Times New Roman" w:hAnsi="Times New Roman" w:cs="Times New Roman"/>
          <w:sz w:val="24"/>
          <w:szCs w:val="24"/>
        </w:rPr>
        <w:t xml:space="preserve"> on the continent</w:t>
      </w:r>
      <w:r>
        <w:rPr>
          <w:rFonts w:ascii="Times New Roman" w:eastAsia="Times New Roman" w:hAnsi="Times New Roman" w:cs="Times New Roman"/>
          <w:sz w:val="24"/>
          <w:szCs w:val="24"/>
        </w:rPr>
        <w:t>, where they can get inputs, credit, agr</w:t>
      </w:r>
      <w:r w:rsidR="00B84EE0">
        <w:rPr>
          <w:rFonts w:ascii="Times New Roman" w:eastAsia="Times New Roman" w:hAnsi="Times New Roman" w:cs="Times New Roman"/>
          <w:sz w:val="24"/>
          <w:szCs w:val="24"/>
        </w:rPr>
        <w:t>onomy and market linkage.</w:t>
      </w:r>
      <w:r w:rsidR="007F423A">
        <w:rPr>
          <w:rFonts w:ascii="Times New Roman" w:eastAsia="Times New Roman" w:hAnsi="Times New Roman" w:cs="Times New Roman"/>
          <w:sz w:val="24"/>
          <w:szCs w:val="24"/>
        </w:rPr>
        <w:t xml:space="preserve"> Tulaa aims to be a one-stop shop for farmers. In addition, Tulaa</w:t>
      </w:r>
      <w:r>
        <w:rPr>
          <w:rFonts w:ascii="Times New Roman" w:eastAsia="Times New Roman" w:hAnsi="Times New Roman" w:cs="Times New Roman"/>
          <w:sz w:val="24"/>
          <w:szCs w:val="24"/>
        </w:rPr>
        <w:t xml:space="preserve"> is a technology company at its core, and leverages different kinds of mobile technology</w:t>
      </w:r>
      <w:r w:rsidR="007F423A">
        <w:rPr>
          <w:rFonts w:ascii="Times New Roman" w:eastAsia="Times New Roman" w:hAnsi="Times New Roman" w:cs="Times New Roman"/>
          <w:sz w:val="24"/>
          <w:szCs w:val="24"/>
        </w:rPr>
        <w:t xml:space="preserve"> and artificial intelligence</w:t>
      </w:r>
      <w:r>
        <w:rPr>
          <w:rFonts w:ascii="Times New Roman" w:eastAsia="Times New Roman" w:hAnsi="Times New Roman" w:cs="Times New Roman"/>
          <w:sz w:val="24"/>
          <w:szCs w:val="24"/>
        </w:rPr>
        <w:t xml:space="preserve"> to work more effectively and impactfully</w:t>
      </w:r>
      <w:r w:rsidR="00892E49">
        <w:rPr>
          <w:rFonts w:ascii="Times New Roman" w:eastAsia="Times New Roman" w:hAnsi="Times New Roman" w:cs="Times New Roman"/>
          <w:sz w:val="24"/>
          <w:szCs w:val="24"/>
        </w:rPr>
        <w:t>.</w:t>
      </w:r>
    </w:p>
    <w:p w14:paraId="12AFFBB9" w14:textId="77777777" w:rsidR="002506C5" w:rsidRDefault="002506C5" w:rsidP="009C51D0">
      <w:pPr>
        <w:spacing w:after="0" w:line="240" w:lineRule="auto"/>
        <w:jc w:val="both"/>
        <w:rPr>
          <w:rFonts w:ascii="Times New Roman" w:eastAsia="Times New Roman" w:hAnsi="Times New Roman" w:cs="Times New Roman"/>
          <w:sz w:val="24"/>
          <w:szCs w:val="24"/>
        </w:rPr>
      </w:pPr>
    </w:p>
    <w:tbl>
      <w:tblPr>
        <w:tblStyle w:val="a0"/>
        <w:tblW w:w="90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34"/>
        <w:gridCol w:w="2236"/>
        <w:gridCol w:w="2096"/>
        <w:gridCol w:w="2444"/>
      </w:tblGrid>
      <w:tr w:rsidR="001E087B" w14:paraId="1EC0E260" w14:textId="77777777" w:rsidTr="001E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41E58F8D" w14:textId="77777777" w:rsidR="001E087B" w:rsidRDefault="00C05414">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details</w:t>
            </w:r>
          </w:p>
        </w:tc>
      </w:tr>
      <w:tr w:rsidR="001E087B" w14:paraId="455B546A" w14:textId="77777777" w:rsidTr="001E087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14:paraId="68B941A8" w14:textId="77777777" w:rsidR="001E087B" w:rsidRDefault="00C0541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236" w:type="dxa"/>
            <w:shd w:val="clear" w:color="auto" w:fill="auto"/>
            <w:vAlign w:val="center"/>
          </w:tcPr>
          <w:p w14:paraId="2618C07F" w14:textId="4A0C8F18" w:rsidR="001E087B" w:rsidRDefault="00C054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w:t>
            </w:r>
            <w:r w:rsidR="00892E49">
              <w:rPr>
                <w:rFonts w:ascii="Times New Roman" w:eastAsia="Times New Roman" w:hAnsi="Times New Roman" w:cs="Times New Roman"/>
                <w:sz w:val="24"/>
                <w:szCs w:val="24"/>
              </w:rPr>
              <w:t xml:space="preserve">technology </w:t>
            </w:r>
          </w:p>
        </w:tc>
        <w:tc>
          <w:tcPr>
            <w:tcW w:w="2096" w:type="dxa"/>
            <w:shd w:val="clear" w:color="auto" w:fill="auto"/>
            <w:vAlign w:val="center"/>
          </w:tcPr>
          <w:p w14:paraId="1E9D8249" w14:textId="77777777" w:rsidR="001E087B" w:rsidRDefault="00C05414">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to users</w:t>
            </w:r>
          </w:p>
        </w:tc>
        <w:tc>
          <w:tcPr>
            <w:tcW w:w="2444" w:type="dxa"/>
            <w:shd w:val="clear" w:color="auto" w:fill="auto"/>
            <w:vAlign w:val="center"/>
          </w:tcPr>
          <w:p w14:paraId="1B9BDC33" w14:textId="77777777" w:rsidR="001E087B" w:rsidRDefault="00C05414">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is free, farmers pay for the credit</w:t>
            </w:r>
          </w:p>
        </w:tc>
      </w:tr>
      <w:tr w:rsidR="001E087B" w14:paraId="01F3E272" w14:textId="77777777" w:rsidTr="001E087B">
        <w:trPr>
          <w:trHeight w:val="38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14:paraId="5BC22FB6" w14:textId="77777777" w:rsidR="001E087B" w:rsidRDefault="00C0541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program started</w:t>
            </w:r>
          </w:p>
        </w:tc>
        <w:tc>
          <w:tcPr>
            <w:tcW w:w="2236" w:type="dxa"/>
            <w:shd w:val="clear" w:color="auto" w:fill="auto"/>
            <w:vAlign w:val="center"/>
          </w:tcPr>
          <w:p w14:paraId="43AD44B7" w14:textId="77777777" w:rsidR="001E087B" w:rsidRDefault="00C054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July 2017</w:t>
            </w:r>
          </w:p>
        </w:tc>
        <w:tc>
          <w:tcPr>
            <w:tcW w:w="2096" w:type="dxa"/>
            <w:shd w:val="clear" w:color="auto" w:fill="auto"/>
            <w:vAlign w:val="center"/>
          </w:tcPr>
          <w:p w14:paraId="6931F406" w14:textId="77777777" w:rsidR="001E087B" w:rsidRDefault="00C05414">
            <w:pPr>
              <w:spacing w:before="100" w:after="10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tc>
        <w:tc>
          <w:tcPr>
            <w:tcW w:w="2444" w:type="dxa"/>
            <w:shd w:val="clear" w:color="auto" w:fill="auto"/>
            <w:vAlign w:val="center"/>
          </w:tcPr>
          <w:p w14:paraId="3C6B7853" w14:textId="77777777" w:rsidR="001E087B" w:rsidRDefault="00C054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training </w:t>
            </w:r>
          </w:p>
        </w:tc>
      </w:tr>
      <w:tr w:rsidR="001E087B" w14:paraId="41CCD1C6" w14:textId="77777777" w:rsidTr="001E087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14:paraId="0442DE2C" w14:textId="77777777" w:rsidR="001E087B" w:rsidRDefault="00C054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Geography</w:t>
            </w:r>
          </w:p>
        </w:tc>
        <w:tc>
          <w:tcPr>
            <w:tcW w:w="2236" w:type="dxa"/>
            <w:shd w:val="clear" w:color="auto" w:fill="auto"/>
            <w:vAlign w:val="center"/>
          </w:tcPr>
          <w:p w14:paraId="1451FEA7" w14:textId="1D87D319" w:rsidR="001E087B" w:rsidRDefault="00C05414">
            <w:pPr>
              <w:spacing w:before="100" w:after="10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Rift Valley</w:t>
            </w:r>
            <w:r w:rsidR="001D665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1D665A">
              <w:rPr>
                <w:rFonts w:ascii="Times New Roman" w:eastAsia="Times New Roman" w:hAnsi="Times New Roman" w:cs="Times New Roman"/>
                <w:sz w:val="24"/>
                <w:szCs w:val="24"/>
              </w:rPr>
              <w:t xml:space="preserve">Eastern </w:t>
            </w:r>
            <w:r>
              <w:rPr>
                <w:rFonts w:ascii="Times New Roman" w:eastAsia="Times New Roman" w:hAnsi="Times New Roman" w:cs="Times New Roman"/>
                <w:sz w:val="24"/>
                <w:szCs w:val="24"/>
              </w:rPr>
              <w:t>Kenya</w:t>
            </w:r>
          </w:p>
        </w:tc>
        <w:tc>
          <w:tcPr>
            <w:tcW w:w="2096" w:type="dxa"/>
            <w:shd w:val="clear" w:color="auto" w:fill="auto"/>
            <w:vAlign w:val="center"/>
          </w:tcPr>
          <w:p w14:paraId="28A30DC6" w14:textId="77777777" w:rsidR="001E087B" w:rsidRDefault="00C054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 of program</w:t>
            </w:r>
          </w:p>
        </w:tc>
        <w:tc>
          <w:tcPr>
            <w:tcW w:w="2444" w:type="dxa"/>
            <w:shd w:val="clear" w:color="auto" w:fill="auto"/>
            <w:vAlign w:val="center"/>
          </w:tcPr>
          <w:p w14:paraId="1254299B" w14:textId="77777777" w:rsidR="001E087B" w:rsidRDefault="00C054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cost: N/A</w:t>
            </w:r>
          </w:p>
        </w:tc>
      </w:tr>
      <w:tr w:rsidR="001E087B" w:rsidRPr="00C51610" w14:paraId="792901E2" w14:textId="77777777" w:rsidTr="001E087B">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14:paraId="69986C6F" w14:textId="77777777" w:rsidR="001E087B" w:rsidRDefault="00C05414">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profile</w:t>
            </w:r>
          </w:p>
        </w:tc>
        <w:tc>
          <w:tcPr>
            <w:tcW w:w="2236" w:type="dxa"/>
            <w:shd w:val="clear" w:color="auto" w:fill="auto"/>
            <w:vAlign w:val="center"/>
          </w:tcPr>
          <w:p w14:paraId="1784DC35" w14:textId="77777777" w:rsidR="001E087B" w:rsidRDefault="001E087B">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F0096B9" w14:textId="77777777" w:rsidR="001E087B" w:rsidRDefault="00C05414">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15,000 small farmers </w:t>
            </w:r>
          </w:p>
        </w:tc>
        <w:tc>
          <w:tcPr>
            <w:tcW w:w="2096" w:type="dxa"/>
            <w:shd w:val="clear" w:color="auto" w:fill="auto"/>
            <w:vAlign w:val="center"/>
          </w:tcPr>
          <w:p w14:paraId="34A31D43" w14:textId="77777777" w:rsidR="001E087B" w:rsidRDefault="00C054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Associated organizations</w:t>
            </w:r>
          </w:p>
        </w:tc>
        <w:tc>
          <w:tcPr>
            <w:tcW w:w="2444" w:type="dxa"/>
            <w:shd w:val="clear" w:color="auto" w:fill="auto"/>
            <w:vAlign w:val="center"/>
          </w:tcPr>
          <w:p w14:paraId="5CF32DD1" w14:textId="49290478" w:rsidR="00C51610" w:rsidRPr="00892E49" w:rsidRDefault="00C51610"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92E49">
              <w:rPr>
                <w:rFonts w:ascii="Times New Roman" w:eastAsia="Times New Roman" w:hAnsi="Times New Roman" w:cs="Times New Roman"/>
                <w:sz w:val="24"/>
                <w:szCs w:val="24"/>
              </w:rPr>
              <w:t>Acumen</w:t>
            </w:r>
          </w:p>
          <w:p w14:paraId="459D44A3" w14:textId="370B6C8B" w:rsidR="00397C2B" w:rsidRPr="00892E49" w:rsidRDefault="00397C2B"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92E49">
              <w:rPr>
                <w:rFonts w:ascii="Times New Roman" w:eastAsia="Times New Roman" w:hAnsi="Times New Roman" w:cs="Times New Roman"/>
                <w:sz w:val="24"/>
                <w:szCs w:val="24"/>
              </w:rPr>
              <w:t>AHL Venture Partners</w:t>
            </w:r>
          </w:p>
          <w:p w14:paraId="3B76CBFD" w14:textId="36915736" w:rsidR="00C51610" w:rsidRPr="00892E49" w:rsidRDefault="00C51610"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92E49">
              <w:rPr>
                <w:rFonts w:ascii="Times New Roman" w:eastAsia="Times New Roman" w:hAnsi="Times New Roman" w:cs="Times New Roman"/>
                <w:sz w:val="24"/>
                <w:szCs w:val="24"/>
              </w:rPr>
              <w:t>ARM Mavuno</w:t>
            </w:r>
          </w:p>
          <w:p w14:paraId="00CB87F7" w14:textId="3FCC2945" w:rsidR="00C51610" w:rsidRPr="00C51610" w:rsidRDefault="00C51610"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10">
              <w:rPr>
                <w:rFonts w:ascii="Times New Roman" w:eastAsia="Times New Roman" w:hAnsi="Times New Roman" w:cs="Times New Roman"/>
                <w:sz w:val="24"/>
                <w:szCs w:val="24"/>
              </w:rPr>
              <w:t>Beyond Capital Funds</w:t>
            </w:r>
          </w:p>
          <w:p w14:paraId="1CAE80F2" w14:textId="0A4E7F61" w:rsidR="00C51610" w:rsidRPr="00C51610" w:rsidRDefault="00C51610"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10">
              <w:rPr>
                <w:rFonts w:ascii="Times New Roman" w:eastAsia="Times New Roman" w:hAnsi="Times New Roman" w:cs="Times New Roman"/>
                <w:sz w:val="24"/>
                <w:szCs w:val="24"/>
              </w:rPr>
              <w:t>Global Partnerships</w:t>
            </w:r>
          </w:p>
          <w:p w14:paraId="1F3D9F30" w14:textId="7A17EEBE" w:rsidR="00C51610" w:rsidRPr="00C51610" w:rsidRDefault="00C51610"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10">
              <w:rPr>
                <w:rFonts w:ascii="Times New Roman" w:eastAsia="Times New Roman" w:hAnsi="Times New Roman" w:cs="Times New Roman"/>
                <w:sz w:val="24"/>
                <w:szCs w:val="24"/>
              </w:rPr>
              <w:t xml:space="preserve">OCP </w:t>
            </w:r>
          </w:p>
          <w:p w14:paraId="76688A2E" w14:textId="48B82F16" w:rsidR="000E5ED8" w:rsidRDefault="000E5ED8" w:rsidP="000E5E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Syngenta</w:t>
            </w:r>
          </w:p>
          <w:p w14:paraId="383C3779" w14:textId="107C8340" w:rsidR="000E5ED8" w:rsidRPr="00C51610" w:rsidRDefault="000E5ED8" w:rsidP="00C516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10">
              <w:rPr>
                <w:rFonts w:ascii="Times New Roman" w:eastAsia="Times New Roman" w:hAnsi="Times New Roman" w:cs="Times New Roman"/>
                <w:sz w:val="24"/>
                <w:szCs w:val="24"/>
              </w:rPr>
              <w:t>Toyota</w:t>
            </w:r>
          </w:p>
        </w:tc>
      </w:tr>
    </w:tbl>
    <w:p w14:paraId="353A2EA4" w14:textId="77777777" w:rsidR="001E087B" w:rsidRDefault="00C05414">
      <w:pPr>
        <w:pStyle w:val="Heading1"/>
        <w:rPr>
          <w:b/>
        </w:rPr>
      </w:pPr>
      <w:r>
        <w:t>Progress and Results</w:t>
      </w:r>
    </w:p>
    <w:p w14:paraId="1784BE4A" w14:textId="4B3B7E02" w:rsidR="009C51D0" w:rsidRDefault="00C05414" w:rsidP="009C51D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currently 15,000 farmers on Tulaa’s platform, including active and inactive users. While some farmers only transact during a given season, that means that about 5,000 are active each season. This year Tulaa is on track to sell about $650,000 in inputs on credit and about $750,000 in commodities (sold produce). </w:t>
      </w:r>
    </w:p>
    <w:p w14:paraId="141C2704" w14:textId="4F218FB8" w:rsidR="001E087B" w:rsidRDefault="00C05414" w:rsidP="009C51D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of an independent analysis showed that approximately 71% of the farmers have never accessed input financing before, and so were financially excluded prior to connecting with Tulaa. Despite women doing most of the labor, men represent the bulk of customers due to gender inequality in agriculture. However, 30% of Tulaa’s clientele are women. Surveyed farmers also self-report increases in incomes over the prior season, including 84% of</w:t>
      </w:r>
      <w:r w:rsidR="009C51D0">
        <w:rPr>
          <w:rFonts w:ascii="Times New Roman" w:eastAsia="Times New Roman" w:hAnsi="Times New Roman" w:cs="Times New Roman"/>
          <w:sz w:val="24"/>
          <w:szCs w:val="24"/>
        </w:rPr>
        <w:t xml:space="preserve"> farmers in the latest season. </w:t>
      </w:r>
    </w:p>
    <w:p w14:paraId="17118B57" w14:textId="77777777" w:rsidR="001E087B" w:rsidRDefault="00C05414">
      <w:pPr>
        <w:pStyle w:val="Heading1"/>
        <w:spacing w:before="0" w:after="0"/>
        <w:rPr>
          <w:b/>
        </w:rPr>
      </w:pPr>
      <w:r>
        <w:t>Challenges</w:t>
      </w:r>
    </w:p>
    <w:p w14:paraId="14936E2D" w14:textId="77777777" w:rsidR="009C51D0" w:rsidRDefault="009C51D0" w:rsidP="009C51D0">
      <w:pPr>
        <w:shd w:val="clear" w:color="auto" w:fill="FFFFFF"/>
        <w:spacing w:after="0" w:line="240" w:lineRule="auto"/>
        <w:jc w:val="both"/>
        <w:rPr>
          <w:rFonts w:ascii="Times New Roman" w:eastAsia="Times New Roman" w:hAnsi="Times New Roman" w:cs="Times New Roman"/>
          <w:b/>
          <w:color w:val="000000"/>
          <w:sz w:val="24"/>
          <w:szCs w:val="24"/>
        </w:rPr>
      </w:pPr>
    </w:p>
    <w:p w14:paraId="171B35A4" w14:textId="78CDCFD3" w:rsidR="001E087B" w:rsidRDefault="00CA5D86" w:rsidP="009C51D0">
      <w:pPr>
        <w:shd w:val="clear" w:color="auto" w:fill="FFFFFF"/>
        <w:spacing w:after="0" w:line="240" w:lineRule="auto"/>
        <w:jc w:val="both"/>
        <w:rPr>
          <w:rFonts w:ascii="Arial" w:eastAsia="Arial" w:hAnsi="Arial" w:cs="Arial"/>
          <w:color w:val="000000"/>
          <w:sz w:val="24"/>
          <w:szCs w:val="24"/>
        </w:rPr>
      </w:pPr>
      <w:r>
        <w:rPr>
          <w:rFonts w:ascii="Times New Roman" w:eastAsia="Times New Roman" w:hAnsi="Times New Roman" w:cs="Times New Roman"/>
          <w:b/>
          <w:color w:val="000000"/>
          <w:sz w:val="24"/>
          <w:szCs w:val="24"/>
        </w:rPr>
        <w:t>Working with banking institutions</w:t>
      </w:r>
      <w:r w:rsidR="00C05414">
        <w:rPr>
          <w:rFonts w:ascii="Times New Roman" w:eastAsia="Times New Roman" w:hAnsi="Times New Roman" w:cs="Times New Roman"/>
          <w:color w:val="000000"/>
          <w:sz w:val="24"/>
          <w:szCs w:val="24"/>
        </w:rPr>
        <w:t xml:space="preserve"> - It was challenging working through the banks and microfinance institutions in the first iteration of the project. There was a disconnect in expectations in terms of the target customer, speed of loan decision-making, etc. </w:t>
      </w:r>
      <w:r w:rsidR="00C05414">
        <w:rPr>
          <w:rFonts w:ascii="Times New Roman" w:eastAsia="Times New Roman" w:hAnsi="Times New Roman" w:cs="Times New Roman"/>
          <w:sz w:val="24"/>
          <w:szCs w:val="24"/>
        </w:rPr>
        <w:t xml:space="preserve">This hurt customer experience, and the company realized that to rectify it needed to change course. Fortunately, Tulaa was in a unique position to do some of the work they had previously sought banks and MFIs to assist with because of the business’s relationship with customers, data on customers, and ability to use technology more effectively than a traditional commercial bank. Consequently, Tulaa </w:t>
      </w:r>
      <w:r w:rsidR="00F740F9">
        <w:rPr>
          <w:rFonts w:ascii="Times New Roman" w:eastAsia="Times New Roman" w:hAnsi="Times New Roman" w:cs="Times New Roman"/>
          <w:sz w:val="24"/>
          <w:szCs w:val="24"/>
        </w:rPr>
        <w:t xml:space="preserve">changed course and </w:t>
      </w:r>
      <w:r w:rsidR="00C05414">
        <w:rPr>
          <w:rFonts w:ascii="Times New Roman" w:eastAsia="Times New Roman" w:hAnsi="Times New Roman" w:cs="Times New Roman"/>
          <w:sz w:val="24"/>
          <w:szCs w:val="24"/>
        </w:rPr>
        <w:t xml:space="preserve">began to do </w:t>
      </w:r>
      <w:r w:rsidR="00F740F9">
        <w:rPr>
          <w:rFonts w:ascii="Times New Roman" w:eastAsia="Times New Roman" w:hAnsi="Times New Roman" w:cs="Times New Roman"/>
          <w:sz w:val="24"/>
          <w:szCs w:val="24"/>
        </w:rPr>
        <w:t xml:space="preserve">underwrite loans independently. </w:t>
      </w:r>
      <w:r w:rsidR="00C05414">
        <w:rPr>
          <w:rFonts w:ascii="Times New Roman" w:eastAsia="Times New Roman" w:hAnsi="Times New Roman" w:cs="Times New Roman"/>
          <w:sz w:val="24"/>
          <w:szCs w:val="24"/>
        </w:rPr>
        <w:br/>
      </w:r>
      <w:r w:rsidR="00C05414">
        <w:rPr>
          <w:rFonts w:ascii="Times New Roman" w:eastAsia="Times New Roman" w:hAnsi="Times New Roman" w:cs="Times New Roman"/>
          <w:sz w:val="24"/>
          <w:szCs w:val="24"/>
        </w:rPr>
        <w:br/>
      </w:r>
      <w:r w:rsidR="00656698">
        <w:rPr>
          <w:rFonts w:ascii="Times New Roman" w:eastAsia="Times New Roman" w:hAnsi="Times New Roman" w:cs="Times New Roman"/>
          <w:b/>
          <w:color w:val="000000"/>
          <w:sz w:val="24"/>
          <w:szCs w:val="24"/>
        </w:rPr>
        <w:t>Fragmented l</w:t>
      </w:r>
      <w:r w:rsidR="00C05414">
        <w:rPr>
          <w:rFonts w:ascii="Times New Roman" w:eastAsia="Times New Roman" w:hAnsi="Times New Roman" w:cs="Times New Roman"/>
          <w:b/>
          <w:color w:val="000000"/>
          <w:sz w:val="24"/>
          <w:szCs w:val="24"/>
        </w:rPr>
        <w:t>ogistics</w:t>
      </w:r>
      <w:r w:rsidR="00C05414">
        <w:rPr>
          <w:rFonts w:ascii="Times New Roman" w:eastAsia="Times New Roman" w:hAnsi="Times New Roman" w:cs="Times New Roman"/>
          <w:color w:val="000000"/>
          <w:sz w:val="24"/>
          <w:szCs w:val="24"/>
        </w:rPr>
        <w:t xml:space="preserve"> – Another challenge </w:t>
      </w:r>
      <w:r w:rsidR="00DB2FB0">
        <w:rPr>
          <w:rFonts w:ascii="Times New Roman" w:eastAsia="Times New Roman" w:hAnsi="Times New Roman" w:cs="Times New Roman"/>
          <w:color w:val="000000"/>
          <w:sz w:val="24"/>
          <w:szCs w:val="24"/>
        </w:rPr>
        <w:t xml:space="preserve">is </w:t>
      </w:r>
      <w:r w:rsidR="00C05414">
        <w:rPr>
          <w:rFonts w:ascii="Times New Roman" w:eastAsia="Times New Roman" w:hAnsi="Times New Roman" w:cs="Times New Roman"/>
          <w:color w:val="000000"/>
          <w:sz w:val="24"/>
          <w:szCs w:val="24"/>
        </w:rPr>
        <w:t>related to logistics for market linkage. Third-party logistics are very fragmented in Kenya and that complicates Tulaa’s ability to quickly get product to market.</w:t>
      </w:r>
      <w:r w:rsidR="00C05414">
        <w:rPr>
          <w:rFonts w:ascii="Arial" w:eastAsia="Arial" w:hAnsi="Arial" w:cs="Arial"/>
          <w:color w:val="000000"/>
          <w:sz w:val="24"/>
          <w:szCs w:val="24"/>
        </w:rPr>
        <w:t> </w:t>
      </w:r>
    </w:p>
    <w:p w14:paraId="09E58E6D" w14:textId="77777777" w:rsidR="001E087B" w:rsidRDefault="001E087B">
      <w:pPr>
        <w:spacing w:after="120" w:line="240" w:lineRule="auto"/>
        <w:jc w:val="both"/>
        <w:rPr>
          <w:rFonts w:ascii="Times New Roman" w:eastAsia="Times New Roman" w:hAnsi="Times New Roman" w:cs="Times New Roman"/>
          <w:color w:val="000000"/>
          <w:sz w:val="24"/>
          <w:szCs w:val="24"/>
        </w:rPr>
      </w:pPr>
    </w:p>
    <w:p w14:paraId="4695A7C4" w14:textId="77777777" w:rsidR="001E087B" w:rsidRDefault="00C05414">
      <w:pPr>
        <w:pStyle w:val="Heading1"/>
        <w:spacing w:before="0" w:after="0"/>
        <w:rPr>
          <w:b/>
        </w:rPr>
      </w:pPr>
      <w:r>
        <w:t>Tulaa’s Suggestions for Future Projects</w:t>
      </w:r>
    </w:p>
    <w:p w14:paraId="124647D6" w14:textId="77777777" w:rsidR="00656698" w:rsidRDefault="00656698" w:rsidP="00843A2E">
      <w:pPr>
        <w:shd w:val="clear" w:color="auto" w:fill="FFFFFF"/>
        <w:spacing w:after="0" w:line="240" w:lineRule="auto"/>
        <w:jc w:val="both"/>
        <w:rPr>
          <w:rFonts w:ascii="Times New Roman" w:eastAsia="Times New Roman" w:hAnsi="Times New Roman" w:cs="Times New Roman"/>
          <w:b/>
          <w:color w:val="000000"/>
          <w:sz w:val="24"/>
          <w:szCs w:val="24"/>
        </w:rPr>
      </w:pPr>
    </w:p>
    <w:p w14:paraId="7651DE92" w14:textId="7728A5AF" w:rsidR="001E087B" w:rsidRDefault="00512630" w:rsidP="00843A2E">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Have control over c</w:t>
      </w:r>
      <w:r w:rsidR="00C05414">
        <w:rPr>
          <w:rFonts w:ascii="Times New Roman" w:eastAsia="Times New Roman" w:hAnsi="Times New Roman" w:cs="Times New Roman"/>
          <w:b/>
          <w:color w:val="000000"/>
          <w:sz w:val="24"/>
          <w:szCs w:val="24"/>
        </w:rPr>
        <w:t xml:space="preserve">ustomer </w:t>
      </w:r>
      <w:r>
        <w:rPr>
          <w:rFonts w:ascii="Times New Roman" w:eastAsia="Times New Roman" w:hAnsi="Times New Roman" w:cs="Times New Roman"/>
          <w:b/>
          <w:color w:val="000000"/>
          <w:sz w:val="24"/>
          <w:szCs w:val="24"/>
        </w:rPr>
        <w:t>experience</w:t>
      </w:r>
      <w:r w:rsidR="00C05414">
        <w:rPr>
          <w:rFonts w:ascii="Times New Roman" w:eastAsia="Times New Roman" w:hAnsi="Times New Roman" w:cs="Times New Roman"/>
          <w:color w:val="000000"/>
          <w:sz w:val="24"/>
          <w:szCs w:val="24"/>
        </w:rPr>
        <w:t xml:space="preserve"> - Ensure you have enough control over the customer experience, and the entities you choose to work with (banks, MFIs, etc.) are not inadvertently wor</w:t>
      </w:r>
      <w:r w:rsidR="00DB2FB0">
        <w:rPr>
          <w:rFonts w:ascii="Times New Roman" w:eastAsia="Times New Roman" w:hAnsi="Times New Roman" w:cs="Times New Roman"/>
          <w:color w:val="000000"/>
          <w:sz w:val="24"/>
          <w:szCs w:val="24"/>
        </w:rPr>
        <w:t xml:space="preserve">king against that. You must </w:t>
      </w:r>
      <w:r w:rsidR="00C05414">
        <w:rPr>
          <w:rFonts w:ascii="Times New Roman" w:eastAsia="Times New Roman" w:hAnsi="Times New Roman" w:cs="Times New Roman"/>
          <w:color w:val="000000"/>
          <w:sz w:val="24"/>
          <w:szCs w:val="24"/>
        </w:rPr>
        <w:t xml:space="preserve">truly understand </w:t>
      </w:r>
      <w:r w:rsidR="00DB2FB0">
        <w:rPr>
          <w:rFonts w:ascii="Times New Roman" w:eastAsia="Times New Roman" w:hAnsi="Times New Roman" w:cs="Times New Roman"/>
          <w:color w:val="000000"/>
          <w:sz w:val="24"/>
          <w:szCs w:val="24"/>
        </w:rPr>
        <w:t>your</w:t>
      </w:r>
      <w:r w:rsidR="00C05414">
        <w:rPr>
          <w:rFonts w:ascii="Times New Roman" w:eastAsia="Times New Roman" w:hAnsi="Times New Roman" w:cs="Times New Roman"/>
          <w:color w:val="000000"/>
          <w:sz w:val="24"/>
          <w:szCs w:val="24"/>
        </w:rPr>
        <w:t xml:space="preserve"> customers and what they want. It is easy to allow bias into your understanding and being vigilant about checking assumptions is key.</w:t>
      </w:r>
      <w:r w:rsidR="00C05414">
        <w:rPr>
          <w:rFonts w:ascii="Arial" w:eastAsia="Arial" w:hAnsi="Arial" w:cs="Arial"/>
          <w:color w:val="000000"/>
          <w:sz w:val="24"/>
          <w:szCs w:val="24"/>
        </w:rPr>
        <w:t xml:space="preserve">  </w:t>
      </w:r>
      <w:r w:rsidR="00C05414">
        <w:rPr>
          <w:rFonts w:ascii="Arial" w:eastAsia="Arial" w:hAnsi="Arial" w:cs="Arial"/>
          <w:color w:val="FF0000"/>
          <w:sz w:val="24"/>
          <w:szCs w:val="24"/>
        </w:rPr>
        <w:br/>
      </w:r>
      <w:r w:rsidR="00C05414">
        <w:rPr>
          <w:rFonts w:ascii="Arial" w:eastAsia="Arial" w:hAnsi="Arial" w:cs="Arial"/>
          <w:color w:val="FF0000"/>
          <w:sz w:val="24"/>
          <w:szCs w:val="24"/>
        </w:rPr>
        <w:br/>
      </w:r>
      <w:r w:rsidR="001E2040">
        <w:rPr>
          <w:rFonts w:ascii="Times New Roman" w:eastAsia="Times New Roman" w:hAnsi="Times New Roman" w:cs="Times New Roman"/>
          <w:b/>
          <w:color w:val="000000"/>
          <w:sz w:val="24"/>
          <w:szCs w:val="24"/>
        </w:rPr>
        <w:t xml:space="preserve">Be </w:t>
      </w:r>
      <w:r w:rsidR="009D429E">
        <w:rPr>
          <w:rFonts w:ascii="Times New Roman" w:eastAsia="Times New Roman" w:hAnsi="Times New Roman" w:cs="Times New Roman"/>
          <w:b/>
          <w:color w:val="000000"/>
          <w:sz w:val="24"/>
          <w:szCs w:val="24"/>
        </w:rPr>
        <w:t>adaptive</w:t>
      </w:r>
      <w:r w:rsidR="00C05414">
        <w:rPr>
          <w:rFonts w:ascii="Times New Roman" w:eastAsia="Times New Roman" w:hAnsi="Times New Roman" w:cs="Times New Roman"/>
          <w:b/>
          <w:color w:val="000000"/>
          <w:sz w:val="24"/>
          <w:szCs w:val="24"/>
        </w:rPr>
        <w:t xml:space="preserve"> </w:t>
      </w:r>
      <w:r w:rsidR="00C05414">
        <w:rPr>
          <w:rFonts w:ascii="Times New Roman" w:eastAsia="Times New Roman" w:hAnsi="Times New Roman" w:cs="Times New Roman"/>
          <w:color w:val="000000"/>
          <w:sz w:val="24"/>
          <w:szCs w:val="24"/>
        </w:rPr>
        <w:t>- There are certain things that early on might not seem feasible for a company to do (e.g. underwriting loans), but it has to be open to changing course according to what the data supports.</w:t>
      </w:r>
    </w:p>
    <w:p w14:paraId="3DD4751C" w14:textId="77777777" w:rsidR="001E087B" w:rsidRDefault="00C05414">
      <w:pPr>
        <w:pStyle w:val="Heading1"/>
        <w:rPr>
          <w:b/>
        </w:rPr>
      </w:pPr>
      <w:r>
        <w:lastRenderedPageBreak/>
        <w:t>Sources</w:t>
      </w:r>
    </w:p>
    <w:p w14:paraId="5E411062" w14:textId="1FC1B0EB" w:rsidR="001E2040" w:rsidRDefault="00934DFB" w:rsidP="001E20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Miller-Wise, H. (2019, June 13). Personal interview.</w:t>
      </w:r>
    </w:p>
    <w:p w14:paraId="64ACDBE5" w14:textId="77777777" w:rsidR="001E2040" w:rsidRPr="001E2040" w:rsidRDefault="001E2040" w:rsidP="001E2040">
      <w:pPr>
        <w:spacing w:after="0" w:line="240" w:lineRule="auto"/>
        <w:rPr>
          <w:rFonts w:ascii="Times New Roman" w:eastAsia="Times New Roman" w:hAnsi="Times New Roman" w:cs="Times New Roman"/>
          <w:sz w:val="24"/>
          <w:szCs w:val="24"/>
        </w:rPr>
      </w:pPr>
    </w:p>
    <w:p w14:paraId="3C6FBAF0" w14:textId="018ECC52" w:rsidR="00934DFB" w:rsidRDefault="00934DFB" w:rsidP="001E2040">
      <w:pPr>
        <w:spacing w:after="0" w:line="240" w:lineRule="auto"/>
      </w:pPr>
      <w:r>
        <w:rPr>
          <w:rFonts w:ascii="Times New Roman" w:eastAsia="Times New Roman" w:hAnsi="Times New Roman" w:cs="Times New Roman"/>
          <w:i/>
          <w:color w:val="222222"/>
          <w:sz w:val="24"/>
          <w:szCs w:val="24"/>
        </w:rPr>
        <w:t>Project website:</w:t>
      </w:r>
      <w:r>
        <w:t xml:space="preserve"> </w:t>
      </w:r>
      <w:hyperlink r:id="rId7">
        <w:r>
          <w:rPr>
            <w:color w:val="0000FF"/>
            <w:u w:val="single"/>
          </w:rPr>
          <w:t>https://www.tulaa.io/</w:t>
        </w:r>
      </w:hyperlink>
    </w:p>
    <w:p w14:paraId="0BDF60BA" w14:textId="77777777" w:rsidR="001E2040" w:rsidRDefault="001E2040" w:rsidP="00934DFB">
      <w:pPr>
        <w:spacing w:after="0" w:line="240" w:lineRule="auto"/>
        <w:rPr>
          <w:rFonts w:ascii="Times New Roman" w:eastAsia="Times New Roman" w:hAnsi="Times New Roman" w:cs="Times New Roman"/>
          <w:sz w:val="24"/>
          <w:szCs w:val="24"/>
        </w:rPr>
      </w:pPr>
    </w:p>
    <w:p w14:paraId="284048E3" w14:textId="567CC6B1" w:rsidR="001E087B" w:rsidRDefault="00C05414" w:rsidP="00934DFB">
      <w:pPr>
        <w:spacing w:after="0" w:line="240" w:lineRule="auto"/>
      </w:pPr>
      <w:r>
        <w:rPr>
          <w:rFonts w:ascii="Times New Roman" w:eastAsia="Times New Roman" w:hAnsi="Times New Roman" w:cs="Times New Roman"/>
          <w:sz w:val="24"/>
          <w:szCs w:val="24"/>
        </w:rPr>
        <w:t xml:space="preserve">GSMA AgriTech Programme. (2019). “Improving financial inclusion through data for </w:t>
      </w:r>
      <w:r w:rsidR="00934DFB">
        <w:rPr>
          <w:rFonts w:ascii="Times New Roman" w:eastAsia="Times New Roman" w:hAnsi="Times New Roman" w:cs="Times New Roman"/>
          <w:sz w:val="24"/>
          <w:szCs w:val="24"/>
        </w:rPr>
        <w:t xml:space="preserve">smallholder farmers in Kenya.” </w:t>
      </w:r>
      <w:r>
        <w:rPr>
          <w:rFonts w:ascii="Times New Roman" w:eastAsia="Times New Roman" w:hAnsi="Times New Roman" w:cs="Times New Roman"/>
          <w:sz w:val="24"/>
          <w:szCs w:val="24"/>
        </w:rPr>
        <w:t xml:space="preserve">Document website: </w:t>
      </w:r>
      <w:hyperlink r:id="rId8">
        <w:r>
          <w:rPr>
            <w:rFonts w:ascii="Times New Roman" w:eastAsia="Times New Roman" w:hAnsi="Times New Roman" w:cs="Times New Roman"/>
            <w:color w:val="0000FF"/>
            <w:sz w:val="24"/>
            <w:szCs w:val="24"/>
            <w:u w:val="single"/>
          </w:rPr>
          <w:t>https://www.gsma.com/mobilefordevelopment/wp-content/uploads/2019/06/GSMA_AgriTech_Improving-financial-inclusion-through-data-for-smallholder-farmers-in-Kenya.pdf</w:t>
        </w:r>
      </w:hyperlink>
      <w:r>
        <w:br/>
      </w:r>
      <w:r>
        <w:rPr>
          <w:rFonts w:ascii="Times New Roman" w:eastAsia="Times New Roman" w:hAnsi="Times New Roman" w:cs="Times New Roman"/>
          <w:sz w:val="24"/>
          <w:szCs w:val="24"/>
        </w:rPr>
        <w:br/>
      </w:r>
    </w:p>
    <w:p w14:paraId="4538E8A2" w14:textId="77777777" w:rsidR="001E087B" w:rsidRDefault="001E087B"/>
    <w:p w14:paraId="33416339" w14:textId="77777777" w:rsidR="001E087B" w:rsidRDefault="001E087B"/>
    <w:p w14:paraId="6E884969" w14:textId="77777777" w:rsidR="001E087B" w:rsidRDefault="001E087B">
      <w:pPr>
        <w:rPr>
          <w:rFonts w:ascii="Times New Roman" w:eastAsia="Times New Roman" w:hAnsi="Times New Roman" w:cs="Times New Roman"/>
          <w:sz w:val="24"/>
          <w:szCs w:val="24"/>
        </w:rPr>
      </w:pPr>
    </w:p>
    <w:p w14:paraId="7D753AD3" w14:textId="77777777" w:rsidR="001E087B" w:rsidRDefault="001E087B">
      <w:pPr>
        <w:shd w:val="clear" w:color="auto" w:fill="FFFFFF"/>
        <w:spacing w:after="0" w:line="240" w:lineRule="auto"/>
        <w:jc w:val="both"/>
        <w:rPr>
          <w:rFonts w:ascii="Times New Roman" w:eastAsia="Times New Roman" w:hAnsi="Times New Roman" w:cs="Times New Roman"/>
          <w:sz w:val="24"/>
          <w:szCs w:val="24"/>
        </w:rPr>
      </w:pPr>
    </w:p>
    <w:sectPr w:rsidR="001E087B">
      <w:footerReference w:type="even" r:id="rId9"/>
      <w:footerReference w:type="default" r:id="rId10"/>
      <w:headerReference w:type="first" r:id="rId11"/>
      <w:footerReference w:type="first" r:id="rId12"/>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3021" w14:textId="77777777" w:rsidR="00425740" w:rsidRDefault="00425740">
      <w:pPr>
        <w:spacing w:after="0" w:line="240" w:lineRule="auto"/>
      </w:pPr>
      <w:r>
        <w:separator/>
      </w:r>
    </w:p>
  </w:endnote>
  <w:endnote w:type="continuationSeparator" w:id="0">
    <w:p w14:paraId="1C8B692F" w14:textId="77777777" w:rsidR="00425740" w:rsidRDefault="0042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213F0" w14:textId="77777777" w:rsidR="001E087B" w:rsidRDefault="00C0541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5D838E11" w14:textId="77777777" w:rsidR="001E087B" w:rsidRDefault="001E087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9299" w14:textId="77777777" w:rsidR="001E087B" w:rsidRDefault="00C05414">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640C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5C5ADA30" w14:textId="77777777" w:rsidR="001E087B" w:rsidRDefault="001E087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E2A0B" w14:textId="77777777" w:rsidR="001E087B" w:rsidRDefault="00C0541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FA1B" w14:textId="77777777" w:rsidR="00425740" w:rsidRDefault="00425740">
      <w:pPr>
        <w:spacing w:after="0" w:line="240" w:lineRule="auto"/>
      </w:pPr>
      <w:r>
        <w:separator/>
      </w:r>
    </w:p>
  </w:footnote>
  <w:footnote w:type="continuationSeparator" w:id="0">
    <w:p w14:paraId="409ED0D7" w14:textId="77777777" w:rsidR="00425740" w:rsidRDefault="0042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21BE1" w14:textId="77777777" w:rsidR="001E087B" w:rsidRDefault="00C05414">
    <w:pPr>
      <w:pBdr>
        <w:top w:val="nil"/>
        <w:left w:val="nil"/>
        <w:bottom w:val="nil"/>
        <w:right w:val="nil"/>
        <w:between w:val="nil"/>
      </w:pBdr>
      <w:tabs>
        <w:tab w:val="left" w:pos="6865"/>
      </w:tabs>
      <w:ind w:right="-1150" w:hanging="1170"/>
      <w:rPr>
        <w:color w:val="000000"/>
      </w:rPr>
    </w:pPr>
    <w:r>
      <w:rPr>
        <w:noProof/>
      </w:rPr>
      <w:drawing>
        <wp:anchor distT="0" distB="0" distL="114300" distR="114300" simplePos="0" relativeHeight="251658240" behindDoc="0" locked="0" layoutInCell="1" hidden="0" allowOverlap="1" wp14:anchorId="442DB745" wp14:editId="28DC9FB2">
          <wp:simplePos x="0" y="0"/>
          <wp:positionH relativeFrom="column">
            <wp:posOffset>-8888</wp:posOffset>
          </wp:positionH>
          <wp:positionV relativeFrom="paragraph">
            <wp:posOffset>0</wp:posOffset>
          </wp:positionV>
          <wp:extent cx="5744845" cy="11334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44845" cy="11334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7B"/>
    <w:rsid w:val="000E5ED8"/>
    <w:rsid w:val="001D665A"/>
    <w:rsid w:val="001E087B"/>
    <w:rsid w:val="001E2040"/>
    <w:rsid w:val="002506C5"/>
    <w:rsid w:val="002C543B"/>
    <w:rsid w:val="00397C2B"/>
    <w:rsid w:val="003E66C3"/>
    <w:rsid w:val="004153F1"/>
    <w:rsid w:val="00425740"/>
    <w:rsid w:val="00483CF1"/>
    <w:rsid w:val="00512630"/>
    <w:rsid w:val="006112D9"/>
    <w:rsid w:val="00656698"/>
    <w:rsid w:val="007B534A"/>
    <w:rsid w:val="007F423A"/>
    <w:rsid w:val="007F68C9"/>
    <w:rsid w:val="00814020"/>
    <w:rsid w:val="00843A2E"/>
    <w:rsid w:val="008841C8"/>
    <w:rsid w:val="00892E49"/>
    <w:rsid w:val="00934DFB"/>
    <w:rsid w:val="009640C8"/>
    <w:rsid w:val="009C51D0"/>
    <w:rsid w:val="009D429E"/>
    <w:rsid w:val="00B20F9A"/>
    <w:rsid w:val="00B51541"/>
    <w:rsid w:val="00B84EE0"/>
    <w:rsid w:val="00C05414"/>
    <w:rsid w:val="00C51610"/>
    <w:rsid w:val="00CA5D86"/>
    <w:rsid w:val="00DB2FB0"/>
    <w:rsid w:val="00EB5442"/>
    <w:rsid w:val="00ED5C9F"/>
    <w:rsid w:val="00F7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61DA"/>
  <w15:docId w15:val="{1D86B7BC-BFBE-43D9-B261-24EDA8FA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after="120" w:line="240" w:lineRule="auto"/>
      <w:outlineLvl w:val="0"/>
    </w:pPr>
    <w:rPr>
      <w:rFonts w:ascii="Georgia" w:eastAsia="Georgia" w:hAnsi="Georgia" w:cs="Georgia"/>
      <w:smallCaps/>
      <w:color w:val="000000"/>
      <w:sz w:val="36"/>
      <w:szCs w:val="36"/>
    </w:rPr>
  </w:style>
  <w:style w:type="paragraph" w:styleId="Heading2">
    <w:name w:val="heading 2"/>
    <w:basedOn w:val="Normal"/>
    <w:next w:val="Normal"/>
    <w:uiPriority w:val="9"/>
    <w:semiHidden/>
    <w:unhideWhenUsed/>
    <w:qFormat/>
    <w:pPr>
      <w:keepNext/>
      <w:keepLines/>
      <w:spacing w:before="360"/>
      <w:ind w:left="576" w:hanging="576"/>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00"/>
      <w:ind w:left="720" w:hanging="720"/>
      <w:outlineLvl w:val="2"/>
    </w:pPr>
    <w:rPr>
      <w:b/>
      <w:color w:val="000000"/>
    </w:rPr>
  </w:style>
  <w:style w:type="paragraph" w:styleId="Heading4">
    <w:name w:val="heading 4"/>
    <w:basedOn w:val="Normal"/>
    <w:next w:val="Normal"/>
    <w:uiPriority w:val="9"/>
    <w:semiHidden/>
    <w:unhideWhenUsed/>
    <w:qFormat/>
    <w:pPr>
      <w:keepNext/>
      <w:keepLines/>
      <w:spacing w:before="200"/>
      <w:ind w:left="864" w:hanging="864"/>
      <w:outlineLvl w:val="3"/>
    </w:pPr>
    <w:rPr>
      <w:b/>
      <w:i/>
      <w:color w:val="000000"/>
    </w:rPr>
  </w:style>
  <w:style w:type="paragraph" w:styleId="Heading5">
    <w:name w:val="heading 5"/>
    <w:basedOn w:val="Normal"/>
    <w:next w:val="Normal"/>
    <w:uiPriority w:val="9"/>
    <w:semiHidden/>
    <w:unhideWhenUsed/>
    <w:qFormat/>
    <w:pPr>
      <w:keepNext/>
      <w:keepLines/>
      <w:spacing w:before="200"/>
      <w:ind w:left="1008" w:hanging="1008"/>
      <w:outlineLvl w:val="4"/>
    </w:pPr>
    <w:rPr>
      <w:color w:val="323E4F"/>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styleId="CommentReference">
    <w:name w:val="annotation reference"/>
    <w:basedOn w:val="DefaultParagraphFont"/>
    <w:uiPriority w:val="99"/>
    <w:semiHidden/>
    <w:unhideWhenUsed/>
    <w:rsid w:val="009640C8"/>
    <w:rPr>
      <w:sz w:val="16"/>
      <w:szCs w:val="16"/>
    </w:rPr>
  </w:style>
  <w:style w:type="paragraph" w:styleId="CommentText">
    <w:name w:val="annotation text"/>
    <w:basedOn w:val="Normal"/>
    <w:link w:val="CommentTextChar"/>
    <w:uiPriority w:val="99"/>
    <w:semiHidden/>
    <w:unhideWhenUsed/>
    <w:rsid w:val="009640C8"/>
    <w:pPr>
      <w:spacing w:line="240" w:lineRule="auto"/>
    </w:pPr>
    <w:rPr>
      <w:sz w:val="20"/>
      <w:szCs w:val="20"/>
    </w:rPr>
  </w:style>
  <w:style w:type="character" w:customStyle="1" w:styleId="CommentTextChar">
    <w:name w:val="Comment Text Char"/>
    <w:basedOn w:val="DefaultParagraphFont"/>
    <w:link w:val="CommentText"/>
    <w:uiPriority w:val="99"/>
    <w:semiHidden/>
    <w:rsid w:val="009640C8"/>
    <w:rPr>
      <w:sz w:val="20"/>
      <w:szCs w:val="20"/>
    </w:rPr>
  </w:style>
  <w:style w:type="paragraph" w:styleId="CommentSubject">
    <w:name w:val="annotation subject"/>
    <w:basedOn w:val="CommentText"/>
    <w:next w:val="CommentText"/>
    <w:link w:val="CommentSubjectChar"/>
    <w:uiPriority w:val="99"/>
    <w:semiHidden/>
    <w:unhideWhenUsed/>
    <w:rsid w:val="009640C8"/>
    <w:rPr>
      <w:b/>
      <w:bCs/>
    </w:rPr>
  </w:style>
  <w:style w:type="character" w:customStyle="1" w:styleId="CommentSubjectChar">
    <w:name w:val="Comment Subject Char"/>
    <w:basedOn w:val="CommentTextChar"/>
    <w:link w:val="CommentSubject"/>
    <w:uiPriority w:val="99"/>
    <w:semiHidden/>
    <w:rsid w:val="009640C8"/>
    <w:rPr>
      <w:b/>
      <w:bCs/>
      <w:sz w:val="20"/>
      <w:szCs w:val="20"/>
    </w:rPr>
  </w:style>
  <w:style w:type="paragraph" w:styleId="BalloonText">
    <w:name w:val="Balloon Text"/>
    <w:basedOn w:val="Normal"/>
    <w:link w:val="BalloonTextChar"/>
    <w:uiPriority w:val="99"/>
    <w:semiHidden/>
    <w:unhideWhenUsed/>
    <w:rsid w:val="00964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0C8"/>
    <w:rPr>
      <w:rFonts w:ascii="Segoe UI" w:hAnsi="Segoe UI" w:cs="Segoe UI"/>
      <w:sz w:val="18"/>
      <w:szCs w:val="18"/>
    </w:rPr>
  </w:style>
  <w:style w:type="paragraph" w:customStyle="1" w:styleId="Normal1">
    <w:name w:val="Normal1"/>
    <w:rsid w:val="007B534A"/>
    <w:pPr>
      <w:pBdr>
        <w:top w:val="nil"/>
        <w:left w:val="nil"/>
        <w:bottom w:val="nil"/>
        <w:right w:val="nil"/>
        <w:between w:val="nil"/>
      </w:pBdr>
    </w:pPr>
    <w:rPr>
      <w:color w:val="000000"/>
    </w:rPr>
  </w:style>
  <w:style w:type="paragraph" w:styleId="NoSpacing">
    <w:name w:val="No Spacing"/>
    <w:uiPriority w:val="1"/>
    <w:qFormat/>
    <w:rsid w:val="007B534A"/>
    <w:pPr>
      <w:pBdr>
        <w:top w:val="nil"/>
        <w:left w:val="nil"/>
        <w:bottom w:val="nil"/>
        <w:right w:val="nil"/>
        <w:between w:val="nil"/>
      </w:pBdr>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sma.com/mobilefordevelopment/wp-content/uploads/2019/06/GSMA_AgriTech_Improving-financial-inclusion-through-data-for-smallholder-farmers-in-Kenya.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laa.io/"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1361</Words>
  <Characters>8441</Characters>
  <Application>Microsoft Office Word</Application>
  <DocSecurity>0</DocSecurity>
  <Lines>122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dc:creator>
  <cp:lastModifiedBy>Muge Haseki</cp:lastModifiedBy>
  <cp:revision>2</cp:revision>
  <dcterms:created xsi:type="dcterms:W3CDTF">2020-04-15T16:00:00Z</dcterms:created>
  <dcterms:modified xsi:type="dcterms:W3CDTF">2020-04-15T16:00:00Z</dcterms:modified>
</cp:coreProperties>
</file>