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ADD78" w14:textId="5D504C9D" w:rsidR="00515373" w:rsidRPr="00C25C51" w:rsidRDefault="00A053E0" w:rsidP="00D32354">
      <w:pPr>
        <w:pStyle w:val="Title"/>
      </w:pPr>
      <w:r w:rsidRPr="00C25C51">
        <w:t>ENERGIZE THE CHAIN</w:t>
      </w:r>
    </w:p>
    <w:p w14:paraId="763ACD83" w14:textId="77777777" w:rsidR="002C2010" w:rsidRPr="00C25C51" w:rsidRDefault="003423E4" w:rsidP="007746AD">
      <w:pPr>
        <w:pStyle w:val="Subtitle"/>
        <w:contextualSpacing/>
      </w:pPr>
      <w:r w:rsidRPr="00C25C51">
        <w:t xml:space="preserve">PROVIDING LAST-MILE </w:t>
      </w:r>
      <w:r w:rsidR="00EE0C20" w:rsidRPr="00C25C51">
        <w:t>VACCINE REFRIGERATORS USING TOWER POWER</w:t>
      </w:r>
      <w:r w:rsidR="00653354" w:rsidRPr="00C25C51">
        <w:t xml:space="preserve"> </w:t>
      </w:r>
    </w:p>
    <w:p w14:paraId="72EBF893" w14:textId="5249D9F1" w:rsidR="003423E4" w:rsidRPr="00C25C51" w:rsidRDefault="00653354" w:rsidP="007746AD">
      <w:pPr>
        <w:pStyle w:val="Subtitle"/>
        <w:contextualSpacing/>
      </w:pPr>
      <w:r w:rsidRPr="00C25C51">
        <w:t xml:space="preserve">IN </w:t>
      </w:r>
      <w:r w:rsidR="00266898" w:rsidRPr="00C25C51">
        <w:t xml:space="preserve">RURAL </w:t>
      </w:r>
      <w:r w:rsidRPr="00C25C51">
        <w:t>ZIMBABWE</w:t>
      </w:r>
    </w:p>
    <w:p w14:paraId="61AC0394" w14:textId="514F7787" w:rsidR="003423E4" w:rsidRPr="00C25C51" w:rsidRDefault="00653B61" w:rsidP="007746AD">
      <w:pPr>
        <w:jc w:val="center"/>
        <w:rPr>
          <w:rFonts w:cs="Times New Roman"/>
          <w:shd w:val="clear" w:color="auto" w:fill="FAFAFA"/>
        </w:rPr>
      </w:pPr>
      <w:r w:rsidRPr="00C25C51">
        <w:rPr>
          <w:noProof/>
        </w:rPr>
        <w:drawing>
          <wp:inline distT="0" distB="0" distL="0" distR="0" wp14:anchorId="3749BF3E" wp14:editId="2AA1C625">
            <wp:extent cx="5730875" cy="28225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053E0" w:rsidRPr="00C25C51">
        <w:rPr>
          <w:rFonts w:cs="Times New Roman"/>
          <w:i/>
        </w:rPr>
        <w:t>An Energize the Chain vaccine shelter in Zimbabwe. Photo courtesy of Energize the Chain</w:t>
      </w:r>
    </w:p>
    <w:p w14:paraId="64012358" w14:textId="77777777" w:rsidR="00515373" w:rsidRPr="00C25C51" w:rsidRDefault="00515373" w:rsidP="00D32354">
      <w:pPr>
        <w:pStyle w:val="Heading1"/>
        <w:rPr>
          <w:b/>
        </w:rPr>
      </w:pPr>
      <w:r w:rsidRPr="00C25C51">
        <w:t xml:space="preserve">Executive Summary </w:t>
      </w:r>
    </w:p>
    <w:p w14:paraId="475A1322" w14:textId="1B5F03C6" w:rsidR="00EF2893" w:rsidRPr="00C25C51" w:rsidRDefault="008C43FC" w:rsidP="007746AD">
      <w:pPr>
        <w:jc w:val="both"/>
        <w:rPr>
          <w:rFonts w:cs="Times New Roman"/>
        </w:rPr>
      </w:pPr>
      <w:r w:rsidRPr="00C25C51">
        <w:rPr>
          <w:rFonts w:cs="Times New Roman"/>
        </w:rPr>
        <w:t>Econet Wireless is</w:t>
      </w:r>
      <w:r w:rsidR="000C7BB1" w:rsidRPr="00C25C51">
        <w:rPr>
          <w:rFonts w:cs="Times New Roman"/>
        </w:rPr>
        <w:t xml:space="preserve"> a non</w:t>
      </w:r>
      <w:r w:rsidR="00AC387F" w:rsidRPr="00C25C51">
        <w:rPr>
          <w:rFonts w:cs="Times New Roman"/>
        </w:rPr>
        <w:t>profit organization</w:t>
      </w:r>
      <w:r w:rsidRPr="00C25C51">
        <w:rPr>
          <w:rFonts w:cs="Times New Roman"/>
        </w:rPr>
        <w:t xml:space="preserve"> that provides reliable green power for </w:t>
      </w:r>
      <w:r w:rsidR="000C7BB1" w:rsidRPr="00C25C51">
        <w:rPr>
          <w:rFonts w:cs="Times New Roman"/>
        </w:rPr>
        <w:t>mobile</w:t>
      </w:r>
      <w:r w:rsidRPr="00C25C51">
        <w:rPr>
          <w:rFonts w:cs="Times New Roman"/>
        </w:rPr>
        <w:t xml:space="preserve"> towers and homes in off-grid rural areas</w:t>
      </w:r>
      <w:r w:rsidR="00AC387F" w:rsidRPr="00C25C51">
        <w:rPr>
          <w:rFonts w:cs="Times New Roman"/>
        </w:rPr>
        <w:t xml:space="preserve"> of Zimbabwe</w:t>
      </w:r>
      <w:r w:rsidRPr="00C25C51">
        <w:rPr>
          <w:rFonts w:cs="Times New Roman"/>
        </w:rPr>
        <w:t>. This electricity also powers vaccine ref</w:t>
      </w:r>
      <w:r w:rsidR="00FE18E1" w:rsidRPr="00C25C51">
        <w:rPr>
          <w:rFonts w:cs="Times New Roman"/>
        </w:rPr>
        <w:t>rigerators in partnership with the Energize the Chain project</w:t>
      </w:r>
      <w:r w:rsidRPr="00C25C51">
        <w:rPr>
          <w:rFonts w:cs="Times New Roman"/>
        </w:rPr>
        <w:t xml:space="preserve"> to provide vaccines for preventable diseases to children </w:t>
      </w:r>
      <w:r w:rsidR="006C25A5" w:rsidRPr="00C25C51">
        <w:rPr>
          <w:rFonts w:cs="Times New Roman"/>
        </w:rPr>
        <w:t>in these regions. Presently, there are 312</w:t>
      </w:r>
      <w:r w:rsidRPr="00C25C51">
        <w:rPr>
          <w:rFonts w:cs="Times New Roman"/>
        </w:rPr>
        <w:t xml:space="preserve"> off-grid </w:t>
      </w:r>
      <w:r w:rsidR="00FE18E1" w:rsidRPr="00C25C51">
        <w:rPr>
          <w:rFonts w:cs="Times New Roman"/>
        </w:rPr>
        <w:t xml:space="preserve">mobile </w:t>
      </w:r>
      <w:r w:rsidRPr="00C25C51">
        <w:rPr>
          <w:rFonts w:cs="Times New Roman"/>
        </w:rPr>
        <w:t>towers with vaccine refrigerators and remote health clinics in operation, wi</w:t>
      </w:r>
      <w:r w:rsidR="006C25A5" w:rsidRPr="00C25C51">
        <w:rPr>
          <w:rFonts w:cs="Times New Roman"/>
        </w:rPr>
        <w:t>th implementation plans in other countries in the region, such as Ghana, as well as globally.</w:t>
      </w:r>
    </w:p>
    <w:p w14:paraId="3955F9B0" w14:textId="77777777" w:rsidR="008A0719" w:rsidRPr="00C25C51" w:rsidRDefault="008A0719" w:rsidP="007746AD">
      <w:pPr>
        <w:jc w:val="both"/>
        <w:rPr>
          <w:rFonts w:cs="Times New Roman"/>
        </w:rPr>
      </w:pPr>
    </w:p>
    <w:p w14:paraId="659CD212" w14:textId="21689733" w:rsidR="00EF2893" w:rsidRPr="00C25C51" w:rsidRDefault="00EF2893" w:rsidP="007746AD">
      <w:pPr>
        <w:jc w:val="both"/>
        <w:rPr>
          <w:rFonts w:cs="Times New Roman"/>
        </w:rPr>
      </w:pPr>
      <w:r w:rsidRPr="00C25C51">
        <w:rPr>
          <w:rFonts w:cs="Times New Roman"/>
          <w:i/>
        </w:rPr>
        <w:t>Keywords:</w:t>
      </w:r>
      <w:r w:rsidRPr="00C25C51">
        <w:rPr>
          <w:rFonts w:cs="Times New Roman"/>
        </w:rPr>
        <w:t xml:space="preserve"> </w:t>
      </w:r>
      <w:r w:rsidR="00820707" w:rsidRPr="00C25C51">
        <w:rPr>
          <w:rFonts w:cs="Times New Roman"/>
          <w:i/>
        </w:rPr>
        <w:t>health</w:t>
      </w:r>
      <w:r w:rsidRPr="00C25C51">
        <w:rPr>
          <w:rFonts w:cs="Times New Roman"/>
          <w:i/>
        </w:rPr>
        <w:t xml:space="preserve">, </w:t>
      </w:r>
      <w:r w:rsidR="00585F60" w:rsidRPr="00C25C51">
        <w:rPr>
          <w:rFonts w:cs="Times New Roman"/>
          <w:i/>
        </w:rPr>
        <w:t>3G cell towers</w:t>
      </w:r>
      <w:r w:rsidR="00820707" w:rsidRPr="00C25C51">
        <w:rPr>
          <w:rFonts w:cs="Times New Roman"/>
          <w:i/>
        </w:rPr>
        <w:t>, deployment, rural, Zimbabwe</w:t>
      </w:r>
    </w:p>
    <w:p w14:paraId="4D308EA6" w14:textId="39FB35B4" w:rsidR="00515373" w:rsidRPr="00C25C51" w:rsidRDefault="005F0787" w:rsidP="00D32354">
      <w:pPr>
        <w:pStyle w:val="Heading1"/>
        <w:rPr>
          <w:b/>
        </w:rPr>
      </w:pPr>
      <w:r w:rsidRPr="00C25C51">
        <w:rPr>
          <w:b/>
        </w:rPr>
        <w:br w:type="page"/>
      </w:r>
      <w:r w:rsidR="00515373" w:rsidRPr="00C25C51">
        <w:lastRenderedPageBreak/>
        <w:t>Context</w:t>
      </w:r>
    </w:p>
    <w:p w14:paraId="3F495B39" w14:textId="33EF43BC" w:rsidR="005F0787" w:rsidRPr="00C25C51" w:rsidRDefault="00870292" w:rsidP="00D32354">
      <w:pPr>
        <w:jc w:val="both"/>
        <w:rPr>
          <w:rFonts w:eastAsia="Times New Roman" w:cs="Times New Roman"/>
          <w:shd w:val="clear" w:color="auto" w:fill="FFFFFF"/>
        </w:rPr>
      </w:pPr>
      <w:r w:rsidRPr="00C25C51">
        <w:rPr>
          <w:rFonts w:eastAsia="Times New Roman" w:cs="Times New Roman"/>
          <w:shd w:val="clear" w:color="auto" w:fill="FFFFFF"/>
        </w:rPr>
        <w:t>Zimbabwe</w:t>
      </w:r>
      <w:r w:rsidR="00752371" w:rsidRPr="00C25C51">
        <w:rPr>
          <w:rFonts w:eastAsia="Times New Roman" w:cs="Times New Roman"/>
          <w:shd w:val="clear" w:color="auto" w:fill="FFFFFF"/>
        </w:rPr>
        <w:t xml:space="preserve"> has about 16 percent</w:t>
      </w:r>
      <w:r w:rsidR="006862A2" w:rsidRPr="00C25C51">
        <w:rPr>
          <w:rFonts w:eastAsia="Times New Roman" w:cs="Times New Roman"/>
          <w:shd w:val="clear" w:color="auto" w:fill="FFFFFF"/>
        </w:rPr>
        <w:t xml:space="preserve"> of its population able to access some form of Internet service, remaining among the countries with the lowest rates of pe</w:t>
      </w:r>
      <w:r w:rsidR="001D001D" w:rsidRPr="00C25C51">
        <w:rPr>
          <w:rFonts w:eastAsia="Times New Roman" w:cs="Times New Roman"/>
          <w:shd w:val="clear" w:color="auto" w:fill="FFFFFF"/>
        </w:rPr>
        <w:t>netration in the world. Furthermore, even among</w:t>
      </w:r>
      <w:r w:rsidR="006862A2" w:rsidRPr="00C25C51">
        <w:rPr>
          <w:rFonts w:eastAsia="Times New Roman" w:cs="Times New Roman"/>
          <w:shd w:val="clear" w:color="auto" w:fill="FFFFFF"/>
        </w:rPr>
        <w:t xml:space="preserve"> Zimbabweans that can connect to the Internet, o</w:t>
      </w:r>
      <w:r w:rsidR="001D001D" w:rsidRPr="00C25C51">
        <w:rPr>
          <w:rFonts w:eastAsia="Times New Roman" w:cs="Times New Roman"/>
          <w:shd w:val="clear" w:color="auto" w:fill="FFFFFF"/>
        </w:rPr>
        <w:t>nly 54 percent</w:t>
      </w:r>
      <w:r w:rsidR="006862A2" w:rsidRPr="00C25C51">
        <w:rPr>
          <w:rFonts w:eastAsia="Times New Roman" w:cs="Times New Roman"/>
          <w:shd w:val="clear" w:color="auto" w:fill="FFFFFF"/>
        </w:rPr>
        <w:t xml:space="preserve"> of the population </w:t>
      </w:r>
      <w:r w:rsidR="001D001D" w:rsidRPr="00C25C51">
        <w:rPr>
          <w:rFonts w:eastAsia="Times New Roman" w:cs="Times New Roman"/>
          <w:shd w:val="clear" w:color="auto" w:fill="FFFFFF"/>
        </w:rPr>
        <w:t xml:space="preserve">have access to 3G connectivity – </w:t>
      </w:r>
      <w:r w:rsidR="006862A2" w:rsidRPr="00C25C51">
        <w:rPr>
          <w:rFonts w:eastAsia="Times New Roman" w:cs="Times New Roman"/>
          <w:shd w:val="clear" w:color="auto" w:fill="FFFFFF"/>
        </w:rPr>
        <w:t xml:space="preserve">with most others using 2G service and millions having no form of access at all. </w:t>
      </w:r>
    </w:p>
    <w:p w14:paraId="2BBEC396" w14:textId="6132C204" w:rsidR="003B22A0" w:rsidRPr="00C25C51" w:rsidRDefault="003B22A0" w:rsidP="00D32354">
      <w:pPr>
        <w:jc w:val="both"/>
        <w:rPr>
          <w:rFonts w:cs="Times New Roman"/>
          <w:shd w:val="clear" w:color="auto" w:fill="FFFFFF"/>
        </w:rPr>
      </w:pPr>
      <w:r w:rsidRPr="00C25C51">
        <w:rPr>
          <w:rFonts w:cs="Times New Roman"/>
          <w:shd w:val="clear" w:color="auto" w:fill="FFFFFF"/>
        </w:rPr>
        <w:t>For a vaccine to remain effective, it must be kept at temperatures</w:t>
      </w:r>
      <w:r w:rsidR="007F1A63" w:rsidRPr="00C25C51">
        <w:rPr>
          <w:rFonts w:cs="Times New Roman"/>
          <w:shd w:val="clear" w:color="auto" w:fill="FFFFFF"/>
        </w:rPr>
        <w:t xml:space="preserve"> between </w:t>
      </w:r>
      <w:r w:rsidR="001D001D" w:rsidRPr="00C25C51">
        <w:rPr>
          <w:rFonts w:cs="Times New Roman"/>
        </w:rPr>
        <w:t>2 and 8 degrees Celsius</w:t>
      </w:r>
      <w:r w:rsidR="001D001D" w:rsidRPr="00C25C51">
        <w:rPr>
          <w:rFonts w:cs="Times New Roman"/>
          <w:shd w:val="clear" w:color="auto" w:fill="FFFFFF"/>
        </w:rPr>
        <w:t xml:space="preserve">. </w:t>
      </w:r>
      <w:r w:rsidRPr="00C25C51">
        <w:rPr>
          <w:rFonts w:cs="Times New Roman"/>
          <w:shd w:val="clear" w:color="auto" w:fill="FFFFFF"/>
        </w:rPr>
        <w:t>In practice, this means constant ref</w:t>
      </w:r>
      <w:r w:rsidR="00E24723" w:rsidRPr="00C25C51">
        <w:rPr>
          <w:rFonts w:cs="Times New Roman"/>
          <w:shd w:val="clear" w:color="auto" w:fill="FFFFFF"/>
        </w:rPr>
        <w:t>rigeration from manufacture to administration</w:t>
      </w:r>
      <w:r w:rsidR="001D001D" w:rsidRPr="00C25C51">
        <w:rPr>
          <w:rFonts w:cs="Times New Roman"/>
          <w:shd w:val="clear" w:color="auto" w:fill="FFFFFF"/>
        </w:rPr>
        <w:t xml:space="preserve">. </w:t>
      </w:r>
      <w:r w:rsidRPr="00C25C51">
        <w:rPr>
          <w:rFonts w:cs="Times New Roman"/>
          <w:shd w:val="clear" w:color="auto" w:fill="FFFFFF"/>
        </w:rPr>
        <w:t xml:space="preserve">The system of storage and mobile refrigeration units </w:t>
      </w:r>
      <w:r w:rsidR="00897F5C" w:rsidRPr="00C25C51">
        <w:rPr>
          <w:rFonts w:cs="Times New Roman"/>
          <w:shd w:val="clear" w:color="auto" w:fill="FFFFFF"/>
        </w:rPr>
        <w:t>are</w:t>
      </w:r>
      <w:r w:rsidRPr="00C25C51">
        <w:rPr>
          <w:rFonts w:cs="Times New Roman"/>
          <w:shd w:val="clear" w:color="auto" w:fill="FFFFFF"/>
        </w:rPr>
        <w:t xml:space="preserve"> known as the “cold chain</w:t>
      </w:r>
      <w:r w:rsidR="001D001D" w:rsidRPr="00C25C51">
        <w:rPr>
          <w:rFonts w:cs="Times New Roman"/>
          <w:shd w:val="clear" w:color="auto" w:fill="FFFFFF"/>
        </w:rPr>
        <w:t>.”</w:t>
      </w:r>
      <w:r w:rsidR="00897F5C" w:rsidRPr="00C25C51">
        <w:rPr>
          <w:rFonts w:cs="Times New Roman"/>
          <w:shd w:val="clear" w:color="auto" w:fill="FFFFFF"/>
        </w:rPr>
        <w:t xml:space="preserve"> </w:t>
      </w:r>
      <w:r w:rsidR="00A053E0" w:rsidRPr="00C25C51">
        <w:rPr>
          <w:rFonts w:cs="Times New Roman"/>
          <w:shd w:val="clear" w:color="auto" w:fill="FFFFFF"/>
        </w:rPr>
        <w:t>L</w:t>
      </w:r>
      <w:r w:rsidR="006804C9" w:rsidRPr="00C25C51">
        <w:rPr>
          <w:rFonts w:cs="Times New Roman"/>
          <w:shd w:val="clear" w:color="auto" w:fill="FFFFFF"/>
        </w:rPr>
        <w:t xml:space="preserve">ast-mile disruptions </w:t>
      </w:r>
      <w:r w:rsidR="00897F5C" w:rsidRPr="00C25C51">
        <w:rPr>
          <w:rFonts w:cs="Times New Roman"/>
          <w:shd w:val="clear" w:color="auto" w:fill="FFFFFF"/>
        </w:rPr>
        <w:t>cause up to 40 percent</w:t>
      </w:r>
      <w:r w:rsidR="006804C9" w:rsidRPr="00C25C51">
        <w:rPr>
          <w:rFonts w:cs="Times New Roman"/>
          <w:shd w:val="clear" w:color="auto" w:fill="FFFFFF"/>
        </w:rPr>
        <w:t xml:space="preserve"> of vaccine</w:t>
      </w:r>
      <w:r w:rsidR="00897F5C" w:rsidRPr="00C25C51">
        <w:rPr>
          <w:rFonts w:cs="Times New Roman"/>
          <w:shd w:val="clear" w:color="auto" w:fill="FFFFFF"/>
        </w:rPr>
        <w:t>s</w:t>
      </w:r>
      <w:r w:rsidR="00A053E0" w:rsidRPr="00C25C51">
        <w:rPr>
          <w:rFonts w:cs="Times New Roman"/>
          <w:shd w:val="clear" w:color="auto" w:fill="FFFFFF"/>
        </w:rPr>
        <w:t xml:space="preserve"> to be wasted</w:t>
      </w:r>
      <w:r w:rsidR="00897F5C" w:rsidRPr="00C25C51">
        <w:rPr>
          <w:rFonts w:cs="Times New Roman"/>
          <w:shd w:val="clear" w:color="auto" w:fill="FFFFFF"/>
        </w:rPr>
        <w:t xml:space="preserve">. </w:t>
      </w:r>
    </w:p>
    <w:p w14:paraId="79E06939" w14:textId="45A6081C" w:rsidR="003B22A0" w:rsidRPr="00C25C51" w:rsidRDefault="003B22A0" w:rsidP="00D32354">
      <w:pPr>
        <w:tabs>
          <w:tab w:val="left" w:pos="3077"/>
        </w:tabs>
        <w:rPr>
          <w:rFonts w:cs="Times New Roman"/>
        </w:rPr>
      </w:pPr>
    </w:p>
    <w:tbl>
      <w:tblPr>
        <w:tblStyle w:val="GridTable6Colorful2"/>
        <w:tblW w:w="0" w:type="auto"/>
        <w:tblInd w:w="-5" w:type="dxa"/>
        <w:tblCellMar>
          <w:top w:w="100" w:type="dxa"/>
          <w:left w:w="0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1805"/>
        <w:gridCol w:w="2480"/>
        <w:gridCol w:w="1995"/>
      </w:tblGrid>
      <w:tr w:rsidR="00C25C51" w:rsidRPr="00C25C51" w14:paraId="07EE087E" w14:textId="77777777" w:rsidTr="00774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shd w:val="clear" w:color="auto" w:fill="auto"/>
            <w:vAlign w:val="center"/>
          </w:tcPr>
          <w:p w14:paraId="1D1D4BB4" w14:textId="3ABD44AE" w:rsidR="00C71879" w:rsidRPr="00C25C51" w:rsidRDefault="00C71879" w:rsidP="007746AD">
            <w:pPr>
              <w:contextualSpacing/>
              <w:jc w:val="center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Zimbabwe</w:t>
            </w:r>
          </w:p>
        </w:tc>
      </w:tr>
      <w:tr w:rsidR="00C25C51" w:rsidRPr="00C25C51" w14:paraId="5D002BED" w14:textId="77777777" w:rsidTr="00774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shd w:val="clear" w:color="auto" w:fill="auto"/>
            <w:vAlign w:val="center"/>
          </w:tcPr>
          <w:p w14:paraId="42579CE7" w14:textId="77777777" w:rsidR="000A411F" w:rsidRPr="00C25C51" w:rsidRDefault="000A411F" w:rsidP="007746AD">
            <w:pPr>
              <w:contextualSpacing/>
              <w:jc w:val="center"/>
              <w:rPr>
                <w:rFonts w:cs="Times New Roman"/>
                <w:bCs w:val="0"/>
                <w:color w:val="auto"/>
                <w:sz w:val="24"/>
              </w:rPr>
            </w:pPr>
            <w:r w:rsidRPr="00C25C51">
              <w:rPr>
                <w:rFonts w:cs="Times New Roman"/>
                <w:color w:val="auto"/>
                <w:sz w:val="24"/>
              </w:rPr>
              <w:t>Population</w:t>
            </w:r>
          </w:p>
          <w:p w14:paraId="51C883EB" w14:textId="362B2D20" w:rsidR="000A411F" w:rsidRPr="00C25C51" w:rsidRDefault="000A411F" w:rsidP="007746AD">
            <w:pPr>
              <w:contextualSpacing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C25C51">
              <w:rPr>
                <w:rFonts w:cs="Times New Roman"/>
                <w:color w:val="auto"/>
                <w:sz w:val="24"/>
              </w:rPr>
              <w:t>(UN, 2015)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1479A66A" w14:textId="26D71C68" w:rsidR="000A411F" w:rsidRPr="00C25C51" w:rsidRDefault="000A411F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15,046,102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00C0D95A" w14:textId="77777777" w:rsidR="000A411F" w:rsidRPr="00C25C51" w:rsidRDefault="000A411F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</w:rPr>
            </w:pPr>
            <w:r w:rsidRPr="00C25C51">
              <w:rPr>
                <w:rFonts w:cs="Times New Roman"/>
                <w:b/>
                <w:color w:val="auto"/>
                <w:sz w:val="24"/>
              </w:rPr>
              <w:t>Fixed broadband subscriptions (%)</w:t>
            </w:r>
          </w:p>
          <w:p w14:paraId="19F1F465" w14:textId="015F1150" w:rsidR="000A411F" w:rsidRPr="00C25C51" w:rsidRDefault="000A411F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C25C51">
              <w:rPr>
                <w:rFonts w:cs="Times New Roman"/>
                <w:b/>
                <w:color w:val="auto"/>
                <w:sz w:val="24"/>
              </w:rPr>
              <w:t>(ITU, 2016)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25522FCA" w14:textId="610DA81F" w:rsidR="000A411F" w:rsidRPr="00C25C51" w:rsidRDefault="000A411F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1.1</w:t>
            </w:r>
          </w:p>
        </w:tc>
      </w:tr>
      <w:tr w:rsidR="00C25C51" w:rsidRPr="00C25C51" w14:paraId="759C5BA1" w14:textId="77777777" w:rsidTr="007746A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shd w:val="clear" w:color="auto" w:fill="auto"/>
            <w:vAlign w:val="center"/>
          </w:tcPr>
          <w:p w14:paraId="07398E88" w14:textId="77777777" w:rsidR="000A411F" w:rsidRPr="00C25C51" w:rsidRDefault="000A411F" w:rsidP="007746AD">
            <w:pPr>
              <w:contextualSpacing/>
              <w:jc w:val="center"/>
              <w:rPr>
                <w:rFonts w:eastAsia="Times New Roman" w:cs="Times New Roman"/>
                <w:bCs w:val="0"/>
                <w:color w:val="auto"/>
                <w:sz w:val="24"/>
              </w:rPr>
            </w:pPr>
            <w:r w:rsidRPr="00C25C51">
              <w:rPr>
                <w:rFonts w:eastAsia="Times New Roman" w:cs="Times New Roman"/>
                <w:color w:val="auto"/>
                <w:sz w:val="24"/>
              </w:rPr>
              <w:t>Population density</w:t>
            </w:r>
          </w:p>
          <w:p w14:paraId="461DA7BC" w14:textId="77777777" w:rsidR="000A411F" w:rsidRPr="00C25C51" w:rsidRDefault="000A411F" w:rsidP="007746AD">
            <w:pPr>
              <w:contextualSpacing/>
              <w:jc w:val="center"/>
              <w:rPr>
                <w:rFonts w:eastAsia="Times New Roman" w:cs="Times New Roman"/>
                <w:color w:val="auto"/>
                <w:sz w:val="24"/>
                <w:szCs w:val="21"/>
              </w:rPr>
            </w:pPr>
            <w:r w:rsidRPr="00C25C51">
              <w:rPr>
                <w:rFonts w:eastAsia="Times New Roman" w:cs="Times New Roman"/>
                <w:color w:val="auto"/>
                <w:sz w:val="24"/>
              </w:rPr>
              <w:t>(people per sq.km)</w:t>
            </w:r>
          </w:p>
          <w:p w14:paraId="6AA2113D" w14:textId="7AB8B734" w:rsidR="000A411F" w:rsidRPr="00C25C51" w:rsidRDefault="000A411F" w:rsidP="007746AD">
            <w:pPr>
              <w:contextualSpacing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C25C51">
              <w:rPr>
                <w:rFonts w:eastAsia="Times New Roman" w:cs="Times New Roman"/>
                <w:color w:val="auto"/>
                <w:sz w:val="24"/>
              </w:rPr>
              <w:t>(UN, 2015)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667C51CF" w14:textId="13C3D37F" w:rsidR="000A411F" w:rsidRPr="00C25C51" w:rsidRDefault="000A411F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38.51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10A42636" w14:textId="77777777" w:rsidR="000A411F" w:rsidRPr="00C25C51" w:rsidRDefault="000A411F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</w:rPr>
            </w:pPr>
            <w:r w:rsidRPr="00C25C51">
              <w:rPr>
                <w:rFonts w:cs="Times New Roman"/>
                <w:b/>
                <w:color w:val="auto"/>
                <w:sz w:val="24"/>
              </w:rPr>
              <w:t>Mobile cellular subscriptions (%)</w:t>
            </w:r>
          </w:p>
          <w:p w14:paraId="4A5B6DAE" w14:textId="045A9B7F" w:rsidR="000A411F" w:rsidRPr="00C25C51" w:rsidRDefault="000A411F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C25C51">
              <w:rPr>
                <w:rFonts w:cs="Times New Roman"/>
                <w:b/>
                <w:color w:val="auto"/>
                <w:sz w:val="24"/>
              </w:rPr>
              <w:t>(ITU, 2016)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308B933D" w14:textId="4CC888B5" w:rsidR="000A411F" w:rsidRPr="00C25C51" w:rsidRDefault="000A411F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83.18</w:t>
            </w:r>
          </w:p>
        </w:tc>
      </w:tr>
      <w:tr w:rsidR="00C25C51" w:rsidRPr="00C25C51" w14:paraId="68AF1AFA" w14:textId="77777777" w:rsidTr="00774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shd w:val="clear" w:color="auto" w:fill="auto"/>
            <w:vAlign w:val="center"/>
          </w:tcPr>
          <w:p w14:paraId="4802F993" w14:textId="77777777" w:rsidR="000A411F" w:rsidRPr="00C25C51" w:rsidRDefault="000A411F" w:rsidP="007746AD">
            <w:pPr>
              <w:contextualSpacing/>
              <w:jc w:val="center"/>
              <w:rPr>
                <w:rFonts w:eastAsia="Times New Roman" w:cs="Times New Roman"/>
                <w:color w:val="auto"/>
                <w:sz w:val="24"/>
                <w:szCs w:val="21"/>
              </w:rPr>
            </w:pPr>
            <w:r w:rsidRPr="00C25C51">
              <w:rPr>
                <w:rFonts w:eastAsia="Times New Roman" w:cs="Times New Roman"/>
                <w:color w:val="auto"/>
                <w:sz w:val="24"/>
              </w:rPr>
              <w:t>Median household income</w:t>
            </w:r>
          </w:p>
          <w:p w14:paraId="0A7432D7" w14:textId="352D4994" w:rsidR="000A411F" w:rsidRPr="00C25C51" w:rsidRDefault="000A411F" w:rsidP="007746AD">
            <w:pPr>
              <w:contextualSpacing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C25C51">
              <w:rPr>
                <w:rFonts w:eastAsia="Times New Roman" w:cs="Times New Roman"/>
                <w:color w:val="auto"/>
                <w:sz w:val="24"/>
              </w:rPr>
              <w:t>(Gallup, 2006-2012)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26CF259E" w14:textId="510FAAAC" w:rsidR="000A411F" w:rsidRPr="00C25C51" w:rsidRDefault="000A411F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1DB2B539" w14:textId="77777777" w:rsidR="000A411F" w:rsidRPr="00C25C51" w:rsidRDefault="000A411F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</w:rPr>
            </w:pPr>
            <w:r w:rsidRPr="00C25C51">
              <w:rPr>
                <w:rFonts w:cs="Times New Roman"/>
                <w:b/>
                <w:color w:val="auto"/>
                <w:sz w:val="24"/>
              </w:rPr>
              <w:t>Individuals using the Internet (%)</w:t>
            </w:r>
          </w:p>
          <w:p w14:paraId="73E2EB1F" w14:textId="6BDEFF8E" w:rsidR="000A411F" w:rsidRPr="00C25C51" w:rsidRDefault="000A411F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C25C51">
              <w:rPr>
                <w:rFonts w:cs="Times New Roman"/>
                <w:b/>
                <w:color w:val="auto"/>
                <w:sz w:val="24"/>
              </w:rPr>
              <w:t>(ITU, 2016)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63630476" w14:textId="230FE6B9" w:rsidR="000A411F" w:rsidRPr="00C25C51" w:rsidRDefault="000A411F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23.1</w:t>
            </w:r>
          </w:p>
        </w:tc>
      </w:tr>
      <w:tr w:rsidR="00C25C51" w:rsidRPr="00C25C51" w14:paraId="3C83A830" w14:textId="77777777" w:rsidTr="007746A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shd w:val="clear" w:color="auto" w:fill="auto"/>
            <w:vAlign w:val="center"/>
          </w:tcPr>
          <w:p w14:paraId="50DF2208" w14:textId="77777777" w:rsidR="000A411F" w:rsidRPr="00C25C51" w:rsidRDefault="000A411F" w:rsidP="007746AD">
            <w:pPr>
              <w:contextualSpacing/>
              <w:jc w:val="center"/>
              <w:rPr>
                <w:rFonts w:cs="Times New Roman"/>
                <w:bCs w:val="0"/>
                <w:color w:val="auto"/>
                <w:sz w:val="24"/>
              </w:rPr>
            </w:pPr>
            <w:r w:rsidRPr="00C25C51">
              <w:rPr>
                <w:rFonts w:cs="Times New Roman"/>
                <w:color w:val="auto"/>
                <w:sz w:val="24"/>
              </w:rPr>
              <w:t>Education</w:t>
            </w:r>
          </w:p>
          <w:p w14:paraId="52F4B3D0" w14:textId="1B29688C" w:rsidR="000A411F" w:rsidRPr="00C25C51" w:rsidRDefault="000A411F" w:rsidP="007746AD">
            <w:pPr>
              <w:contextualSpacing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C25C51">
              <w:rPr>
                <w:rFonts w:cs="Times New Roman"/>
                <w:color w:val="auto"/>
                <w:sz w:val="24"/>
              </w:rPr>
              <w:t>(Mean years of schooling) (UNDP, 2013)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5E8943BB" w14:textId="77777777" w:rsidR="000A411F" w:rsidRPr="00C25C51" w:rsidRDefault="000A411F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</w:rPr>
              <w:t>Male: 7.8</w:t>
            </w:r>
          </w:p>
          <w:p w14:paraId="5DD1528A" w14:textId="52F834E6" w:rsidR="000A411F" w:rsidRPr="00C25C51" w:rsidRDefault="000A411F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</w:rPr>
              <w:t>Female: 6.7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42586AC6" w14:textId="20C1AD4F" w:rsidR="000A411F" w:rsidRPr="00C25C51" w:rsidRDefault="000A411F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C25C51">
              <w:rPr>
                <w:rFonts w:cs="Times New Roman"/>
                <w:b/>
                <w:color w:val="auto"/>
                <w:sz w:val="24"/>
              </w:rPr>
              <w:t>Individuals using the Internet by Gender (%) (ITU, 2016)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5A941D26" w14:textId="77777777" w:rsidR="000A411F" w:rsidRPr="00C25C51" w:rsidRDefault="000A411F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</w:rPr>
            </w:pPr>
            <w:r w:rsidRPr="00C25C51">
              <w:rPr>
                <w:rFonts w:cs="Times New Roman"/>
                <w:color w:val="auto"/>
                <w:sz w:val="24"/>
              </w:rPr>
              <w:t>Male: 18.3</w:t>
            </w:r>
          </w:p>
          <w:p w14:paraId="55050452" w14:textId="7F2F2EB7" w:rsidR="000A411F" w:rsidRPr="00C25C51" w:rsidRDefault="000A411F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25C51">
              <w:rPr>
                <w:rFonts w:cs="Times New Roman"/>
                <w:color w:val="auto"/>
                <w:sz w:val="24"/>
              </w:rPr>
              <w:t>Female: 14.6</w:t>
            </w:r>
          </w:p>
        </w:tc>
      </w:tr>
    </w:tbl>
    <w:p w14:paraId="5647662D" w14:textId="5E4B1CF3" w:rsidR="00515373" w:rsidRPr="00C25C51" w:rsidRDefault="00F668B9" w:rsidP="00D32354">
      <w:pPr>
        <w:pStyle w:val="Heading1"/>
        <w:rPr>
          <w:b/>
        </w:rPr>
      </w:pPr>
      <w:r w:rsidRPr="00C25C51">
        <w:t>Project D</w:t>
      </w:r>
      <w:r w:rsidR="00AD4B4C" w:rsidRPr="00C25C51">
        <w:t>escription</w:t>
      </w:r>
    </w:p>
    <w:p w14:paraId="69FC7BA4" w14:textId="2F73CAC9" w:rsidR="006862A2" w:rsidRPr="00C25C51" w:rsidRDefault="006862A2" w:rsidP="00D32354">
      <w:pPr>
        <w:jc w:val="both"/>
        <w:rPr>
          <w:rFonts w:cs="Times New Roman"/>
        </w:rPr>
      </w:pPr>
      <w:r w:rsidRPr="00C25C51">
        <w:rPr>
          <w:rFonts w:cs="Times New Roman"/>
        </w:rPr>
        <w:t xml:space="preserve">Econet Wireless has set up </w:t>
      </w:r>
      <w:r w:rsidR="007C52EB" w:rsidRPr="00C25C51">
        <w:rPr>
          <w:rFonts w:cs="Times New Roman"/>
        </w:rPr>
        <w:t xml:space="preserve">off-grid </w:t>
      </w:r>
      <w:r w:rsidR="00870754" w:rsidRPr="00C25C51">
        <w:rPr>
          <w:rFonts w:cs="Times New Roman"/>
        </w:rPr>
        <w:t>mobile</w:t>
      </w:r>
      <w:r w:rsidR="007C52EB" w:rsidRPr="00C25C51">
        <w:rPr>
          <w:rFonts w:cs="Times New Roman"/>
        </w:rPr>
        <w:t xml:space="preserve"> phone towers powered by r</w:t>
      </w:r>
      <w:r w:rsidR="00870754" w:rsidRPr="00C25C51">
        <w:rPr>
          <w:rFonts w:cs="Times New Roman"/>
        </w:rPr>
        <w:t>obust electrical infrastructure</w:t>
      </w:r>
      <w:r w:rsidR="007C52EB" w:rsidRPr="00C25C51">
        <w:rPr>
          <w:rFonts w:cs="Times New Roman"/>
        </w:rPr>
        <w:t xml:space="preserve"> in most rural parts </w:t>
      </w:r>
      <w:r w:rsidRPr="00C25C51">
        <w:rPr>
          <w:rFonts w:cs="Times New Roman"/>
        </w:rPr>
        <w:t xml:space="preserve">of Zimbabwe. </w:t>
      </w:r>
      <w:r w:rsidR="007C52EB" w:rsidRPr="00C25C51">
        <w:rPr>
          <w:rFonts w:cs="Times New Roman"/>
        </w:rPr>
        <w:t>The electrical supply to these towers is provided b</w:t>
      </w:r>
      <w:r w:rsidR="00870754" w:rsidRPr="00C25C51">
        <w:rPr>
          <w:rFonts w:cs="Times New Roman"/>
        </w:rPr>
        <w:t>y turbines, diesel generators, and sometimes,</w:t>
      </w:r>
      <w:r w:rsidR="007C52EB" w:rsidRPr="00C25C51">
        <w:rPr>
          <w:rFonts w:cs="Times New Roman"/>
        </w:rPr>
        <w:t xml:space="preserve"> solar energy</w:t>
      </w:r>
      <w:r w:rsidRPr="00C25C51">
        <w:rPr>
          <w:rFonts w:cs="Times New Roman"/>
        </w:rPr>
        <w:t xml:space="preserve">. </w:t>
      </w:r>
    </w:p>
    <w:p w14:paraId="69D4FC32" w14:textId="2A7BF51C" w:rsidR="006862A2" w:rsidRPr="00C25C51" w:rsidRDefault="00870754" w:rsidP="00D32354">
      <w:pPr>
        <w:jc w:val="both"/>
        <w:rPr>
          <w:rFonts w:cs="Times New Roman"/>
        </w:rPr>
      </w:pPr>
      <w:r w:rsidRPr="00C25C51">
        <w:rPr>
          <w:rFonts w:cs="Times New Roman"/>
        </w:rPr>
        <w:t xml:space="preserve">In 2013, </w:t>
      </w:r>
      <w:r w:rsidR="006862A2" w:rsidRPr="00C25C51">
        <w:rPr>
          <w:rFonts w:cs="Times New Roman"/>
        </w:rPr>
        <w:t xml:space="preserve">Econet Wireless partnered with a </w:t>
      </w:r>
      <w:r w:rsidRPr="00C25C51">
        <w:rPr>
          <w:rFonts w:cs="Times New Roman"/>
        </w:rPr>
        <w:t>group</w:t>
      </w:r>
      <w:r w:rsidR="006862A2" w:rsidRPr="00C25C51">
        <w:rPr>
          <w:rFonts w:cs="Times New Roman"/>
        </w:rPr>
        <w:t xml:space="preserve"> known as Energize the Chain to launch nearly 100 sites across Zimbabwe. In coordination with the Zimbabwe Ministry of Health, the partners</w:t>
      </w:r>
      <w:r w:rsidRPr="00C25C51">
        <w:rPr>
          <w:rFonts w:cs="Times New Roman"/>
        </w:rPr>
        <w:t xml:space="preserve">hip targeted outreach on a need </w:t>
      </w:r>
      <w:r w:rsidR="006862A2" w:rsidRPr="00C25C51">
        <w:rPr>
          <w:rFonts w:cs="Times New Roman"/>
        </w:rPr>
        <w:t>basis</w:t>
      </w:r>
      <w:r w:rsidRPr="00C25C51">
        <w:rPr>
          <w:rFonts w:cs="Times New Roman"/>
        </w:rPr>
        <w:t>,</w:t>
      </w:r>
      <w:r w:rsidR="006862A2" w:rsidRPr="00C25C51">
        <w:rPr>
          <w:rFonts w:cs="Times New Roman"/>
        </w:rPr>
        <w:t xml:space="preserve"> prioritizing regions with poor cold chain equipment performance and poor electrical connectivity. </w:t>
      </w:r>
    </w:p>
    <w:p w14:paraId="530B71E9" w14:textId="2E33219B" w:rsidR="007C52EB" w:rsidRPr="00C25C51" w:rsidRDefault="006862A2" w:rsidP="00D32354">
      <w:pPr>
        <w:jc w:val="both"/>
        <w:rPr>
          <w:rFonts w:cs="Times New Roman"/>
        </w:rPr>
      </w:pPr>
      <w:r w:rsidRPr="00C25C51">
        <w:rPr>
          <w:rFonts w:cs="Times New Roman"/>
        </w:rPr>
        <w:t xml:space="preserve">This “tower power” can provide cellular connectivity to rural Zimbabweans that are in off-grid locations, and often is the first electrical power within many communities. In collaboration with Energize the Chain, Econet Wireless has deployed </w:t>
      </w:r>
      <w:r w:rsidR="007C52EB" w:rsidRPr="00C25C51">
        <w:rPr>
          <w:rFonts w:cs="Times New Roman"/>
        </w:rPr>
        <w:t xml:space="preserve">a model to reduce preventable childhood deaths among the world’s most vulnerable populations by harnessing the power generated at these stations </w:t>
      </w:r>
      <w:r w:rsidRPr="00C25C51">
        <w:rPr>
          <w:rFonts w:cs="Times New Roman"/>
        </w:rPr>
        <w:t>to</w:t>
      </w:r>
      <w:r w:rsidR="007C52EB" w:rsidRPr="00C25C51">
        <w:rPr>
          <w:rFonts w:cs="Times New Roman"/>
        </w:rPr>
        <w:t xml:space="preserve"> solve one of the pressing challenges of immunization across the developing world </w:t>
      </w:r>
      <w:r w:rsidR="00761DD3" w:rsidRPr="00C25C51">
        <w:rPr>
          <w:rFonts w:cs="Times New Roman"/>
        </w:rPr>
        <w:t>–</w:t>
      </w:r>
      <w:r w:rsidR="007C52EB" w:rsidRPr="00C25C51">
        <w:rPr>
          <w:rFonts w:cs="Times New Roman"/>
        </w:rPr>
        <w:t xml:space="preserve"> the cold chain problem. </w:t>
      </w:r>
    </w:p>
    <w:p w14:paraId="04A45219" w14:textId="520D179F" w:rsidR="00AD4B4C" w:rsidRDefault="007C52EB" w:rsidP="00D32354">
      <w:pPr>
        <w:jc w:val="both"/>
        <w:rPr>
          <w:rFonts w:cs="Times New Roman"/>
        </w:rPr>
      </w:pPr>
      <w:r w:rsidRPr="00C25C51">
        <w:rPr>
          <w:rFonts w:cs="Times New Roman"/>
        </w:rPr>
        <w:t xml:space="preserve">The co-location model houses a vaccine refrigerator at a </w:t>
      </w:r>
      <w:r w:rsidR="00761DD3" w:rsidRPr="00C25C51">
        <w:rPr>
          <w:rFonts w:cs="Times New Roman"/>
        </w:rPr>
        <w:t>mobile</w:t>
      </w:r>
      <w:r w:rsidRPr="00C25C51">
        <w:rPr>
          <w:rFonts w:cs="Times New Roman"/>
        </w:rPr>
        <w:t xml:space="preserve"> tower site adjacent to a health clinic in need. By harnessing the cell tower’s excess power, the refrige</w:t>
      </w:r>
      <w:r w:rsidR="00761DD3" w:rsidRPr="00C25C51">
        <w:rPr>
          <w:rFonts w:cs="Times New Roman"/>
        </w:rPr>
        <w:t xml:space="preserve">rator is kept at the </w:t>
      </w:r>
      <w:r w:rsidR="00761DD3" w:rsidRPr="00C25C51">
        <w:rPr>
          <w:rFonts w:cs="Times New Roman"/>
        </w:rPr>
        <w:lastRenderedPageBreak/>
        <w:t>required 2 to 8 degrees Celsius</w:t>
      </w:r>
      <w:r w:rsidRPr="00C25C51">
        <w:rPr>
          <w:rFonts w:cs="Times New Roman"/>
        </w:rPr>
        <w:t xml:space="preserve"> to maintain vaccine efficacy. Vaccine spoilage is minimized, optimizi</w:t>
      </w:r>
      <w:r w:rsidR="00AD4B4C" w:rsidRPr="00C25C51">
        <w:rPr>
          <w:rFonts w:cs="Times New Roman"/>
        </w:rPr>
        <w:t xml:space="preserve">ng healthcare workers’ time as well as reaching populations in the most </w:t>
      </w:r>
      <w:r w:rsidR="00C11EC0" w:rsidRPr="00C25C51">
        <w:rPr>
          <w:rFonts w:cs="Times New Roman"/>
        </w:rPr>
        <w:t>geographically unfriendly</w:t>
      </w:r>
      <w:r w:rsidR="00AD4B4C" w:rsidRPr="00C25C51">
        <w:rPr>
          <w:rFonts w:cs="Times New Roman"/>
        </w:rPr>
        <w:t xml:space="preserve"> places for vaccine standards compliance.</w:t>
      </w:r>
    </w:p>
    <w:p w14:paraId="5B501B7B" w14:textId="77777777" w:rsidR="00D32354" w:rsidRPr="00C25C51" w:rsidRDefault="00D32354" w:rsidP="00D32354">
      <w:pPr>
        <w:jc w:val="both"/>
        <w:rPr>
          <w:rFonts w:cs="Times New Roman"/>
        </w:rPr>
      </w:pPr>
    </w:p>
    <w:tbl>
      <w:tblPr>
        <w:tblStyle w:val="GridTable6Colorful2"/>
        <w:tblW w:w="0" w:type="auto"/>
        <w:tblCellMar>
          <w:top w:w="100" w:type="dxa"/>
          <w:left w:w="0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2253"/>
        <w:gridCol w:w="2243"/>
        <w:gridCol w:w="2069"/>
        <w:gridCol w:w="2445"/>
      </w:tblGrid>
      <w:tr w:rsidR="00C25C51" w:rsidRPr="00C25C51" w14:paraId="45B5D37D" w14:textId="77777777" w:rsidTr="00D32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4"/>
            <w:shd w:val="clear" w:color="auto" w:fill="auto"/>
            <w:vAlign w:val="center"/>
          </w:tcPr>
          <w:p w14:paraId="61C10A52" w14:textId="1FC40F28" w:rsidR="002403F9" w:rsidRPr="00C25C51" w:rsidRDefault="00A053E0" w:rsidP="007746AD">
            <w:pPr>
              <w:contextualSpacing/>
              <w:jc w:val="center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Project </w:t>
            </w:r>
            <w:r w:rsidR="008A0719"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details</w:t>
            </w:r>
          </w:p>
        </w:tc>
      </w:tr>
      <w:tr w:rsidR="00C25C51" w:rsidRPr="00C25C51" w14:paraId="1C62A1F3" w14:textId="77777777" w:rsidTr="00D32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auto"/>
            <w:vAlign w:val="center"/>
          </w:tcPr>
          <w:p w14:paraId="0D761B0F" w14:textId="3F862CCD" w:rsidR="00585F60" w:rsidRPr="00C25C51" w:rsidRDefault="002403F9" w:rsidP="007746AD">
            <w:pPr>
              <w:contextualSpacing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</w:rPr>
              <w:t>Technology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6F8D569" w14:textId="499CDB20" w:rsidR="002403F9" w:rsidRPr="00C25C51" w:rsidRDefault="00A053E0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3G cell towers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131FD126" w14:textId="14862F8C" w:rsidR="002403F9" w:rsidRPr="00C25C51" w:rsidRDefault="002403F9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b/>
                <w:color w:val="auto"/>
                <w:sz w:val="24"/>
                <w:szCs w:val="24"/>
              </w:rPr>
              <w:t>Training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46A75487" w14:textId="6940FB09" w:rsidR="002403F9" w:rsidRPr="00C25C51" w:rsidRDefault="00A053E0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No</w:t>
            </w:r>
          </w:p>
        </w:tc>
      </w:tr>
      <w:tr w:rsidR="00C25C51" w:rsidRPr="00C25C51" w14:paraId="3FE46901" w14:textId="77777777" w:rsidTr="00D3235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auto"/>
            <w:vAlign w:val="center"/>
          </w:tcPr>
          <w:p w14:paraId="04037D18" w14:textId="7853D1B4" w:rsidR="00585F60" w:rsidRPr="00C25C51" w:rsidRDefault="00A053E0" w:rsidP="007746AD">
            <w:pPr>
              <w:contextualSpacing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</w:rPr>
              <w:t xml:space="preserve">Year </w:t>
            </w:r>
            <w:r w:rsidR="008A0719" w:rsidRPr="00C25C51">
              <w:rPr>
                <w:rFonts w:cs="Times New Roman"/>
                <w:color w:val="auto"/>
                <w:sz w:val="24"/>
                <w:szCs w:val="24"/>
              </w:rPr>
              <w:t>program started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4E2B08D" w14:textId="428185E9" w:rsidR="002403F9" w:rsidRPr="00C25C51" w:rsidRDefault="00A053E0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2013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579BD8DA" w14:textId="77777777" w:rsidR="002403F9" w:rsidRPr="00C25C51" w:rsidRDefault="002403F9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b/>
                <w:color w:val="auto"/>
                <w:sz w:val="24"/>
                <w:szCs w:val="24"/>
                <w:lang w:eastAsia="en-US"/>
              </w:rPr>
              <w:t>Cost to users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10DB15EA" w14:textId="4CA6B2B2" w:rsidR="002403F9" w:rsidRPr="00C25C51" w:rsidRDefault="00F668B9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</w:rPr>
              <w:t>Free</w:t>
            </w:r>
          </w:p>
        </w:tc>
      </w:tr>
      <w:tr w:rsidR="00C25C51" w:rsidRPr="00C25C51" w14:paraId="1F8A34E1" w14:textId="77777777" w:rsidTr="00D32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auto"/>
            <w:vAlign w:val="center"/>
          </w:tcPr>
          <w:p w14:paraId="389D31A4" w14:textId="35127399" w:rsidR="002403F9" w:rsidRPr="00C25C51" w:rsidRDefault="002403F9" w:rsidP="007746AD">
            <w:pPr>
              <w:contextualSpacing/>
              <w:jc w:val="center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Geography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522D08E" w14:textId="09AEA615" w:rsidR="002403F9" w:rsidRPr="00C25C51" w:rsidRDefault="00E6235B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Rural</w:t>
            </w:r>
            <w:r w:rsidR="00A505F4"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 Zimbabwe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73A79746" w14:textId="42A0DE20" w:rsidR="00BC3C5F" w:rsidRPr="00C25C51" w:rsidRDefault="002403F9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C25C51">
              <w:rPr>
                <w:rFonts w:cs="Times New Roman"/>
                <w:b/>
                <w:color w:val="auto"/>
                <w:sz w:val="24"/>
                <w:szCs w:val="24"/>
              </w:rPr>
              <w:t>Total cost of program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7F634CE7" w14:textId="7CEB72BD" w:rsidR="002403F9" w:rsidRPr="00C25C51" w:rsidRDefault="00A053E0" w:rsidP="007746A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Undisclosed</w:t>
            </w:r>
          </w:p>
        </w:tc>
      </w:tr>
      <w:tr w:rsidR="00C25C51" w:rsidRPr="00C25C51" w14:paraId="2DC1F37E" w14:textId="77777777" w:rsidTr="00D3235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auto"/>
            <w:vAlign w:val="center"/>
          </w:tcPr>
          <w:p w14:paraId="141B5210" w14:textId="77777777" w:rsidR="002403F9" w:rsidRPr="00C25C51" w:rsidRDefault="002403F9" w:rsidP="007746AD">
            <w:pPr>
              <w:contextualSpacing/>
              <w:jc w:val="center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</w:rPr>
              <w:t>User profile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727FDBC" w14:textId="681FEF59" w:rsidR="002403F9" w:rsidRPr="00C25C51" w:rsidRDefault="00005BB1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Healthcare providers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543E11E7" w14:textId="48EFDBB6" w:rsidR="002403F9" w:rsidRPr="00C25C51" w:rsidRDefault="00F668B9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b/>
                <w:color w:val="auto"/>
                <w:sz w:val="24"/>
                <w:szCs w:val="24"/>
              </w:rPr>
              <w:t>Associated o</w:t>
            </w:r>
            <w:r w:rsidR="002403F9" w:rsidRPr="00C25C51">
              <w:rPr>
                <w:rFonts w:cs="Times New Roman"/>
                <w:b/>
                <w:color w:val="auto"/>
                <w:sz w:val="24"/>
                <w:szCs w:val="24"/>
              </w:rPr>
              <w:t>rganizations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4D9BCBA7" w14:textId="65AF9A56" w:rsidR="00E6235B" w:rsidRPr="00C25C51" w:rsidRDefault="00E6235B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American Tower Company (ATC)</w:t>
            </w:r>
          </w:p>
          <w:p w14:paraId="2298165D" w14:textId="1CC0C410" w:rsidR="00F668B9" w:rsidRPr="00C25C51" w:rsidRDefault="00F668B9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Johnson and Johnson</w:t>
            </w:r>
          </w:p>
          <w:p w14:paraId="6CE0ABCB" w14:textId="547FC7C9" w:rsidR="00E6235B" w:rsidRPr="00C25C51" w:rsidRDefault="00F668B9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KNUST</w:t>
            </w:r>
          </w:p>
          <w:p w14:paraId="648609B4" w14:textId="45204129" w:rsidR="00C11EC0" w:rsidRPr="00C25C51" w:rsidRDefault="00A053E0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Kumasi</w:t>
            </w:r>
            <w:r w:rsidR="00E6235B"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 Center for Collaborative Research in Tropical Medicine</w:t>
            </w:r>
          </w:p>
          <w:p w14:paraId="2134D5A9" w14:textId="0170A541" w:rsidR="00C11EC0" w:rsidRPr="00C25C51" w:rsidRDefault="00C11EC0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Ministry of Aviation, </w:t>
            </w:r>
          </w:p>
          <w:p w14:paraId="75A3DDEF" w14:textId="59805C8B" w:rsidR="00C11EC0" w:rsidRPr="00C25C51" w:rsidRDefault="00C11EC0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Ministry of Health</w:t>
            </w:r>
          </w:p>
          <w:p w14:paraId="052F262C" w14:textId="2C6B279A" w:rsidR="00C11EC0" w:rsidRPr="00C25C51" w:rsidRDefault="00C11EC0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Ministry of Transportation</w:t>
            </w:r>
          </w:p>
          <w:p w14:paraId="0F682449" w14:textId="25DAFB7D" w:rsidR="00F668B9" w:rsidRPr="00C25C51" w:rsidRDefault="00E6235B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MTN</w:t>
            </w:r>
          </w:p>
          <w:p w14:paraId="4ACC697B" w14:textId="5CEEBB42" w:rsidR="00F668B9" w:rsidRPr="00C25C51" w:rsidRDefault="00F668B9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NexLeaf</w:t>
            </w:r>
            <w:proofErr w:type="spellEnd"/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 Analytics</w:t>
            </w:r>
          </w:p>
          <w:p w14:paraId="42FF5DE5" w14:textId="4D92AC71" w:rsidR="00C11EC0" w:rsidRPr="00C25C51" w:rsidRDefault="00F668B9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Rockefeller Foundation</w:t>
            </w:r>
          </w:p>
          <w:p w14:paraId="7BEF660B" w14:textId="0EEE403F" w:rsidR="00C11EC0" w:rsidRPr="00C25C51" w:rsidRDefault="00C11EC0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USAID</w:t>
            </w:r>
          </w:p>
          <w:p w14:paraId="590E9A29" w14:textId="65237884" w:rsidR="00E6235B" w:rsidRPr="00C25C51" w:rsidRDefault="00C11EC0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UNICEF</w:t>
            </w:r>
          </w:p>
          <w:p w14:paraId="6AE40071" w14:textId="1CD352AC" w:rsidR="00E6235B" w:rsidRPr="00C25C51" w:rsidRDefault="00E6235B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Vayu</w:t>
            </w:r>
          </w:p>
          <w:p w14:paraId="6C41A774" w14:textId="7CD8090C" w:rsidR="002403F9" w:rsidRPr="00C25C51" w:rsidRDefault="00F668B9" w:rsidP="007746A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C25C51">
              <w:rPr>
                <w:rFonts w:cs="Times New Roman"/>
                <w:color w:val="auto"/>
                <w:sz w:val="24"/>
                <w:szCs w:val="24"/>
                <w:lang w:eastAsia="en-US"/>
              </w:rPr>
              <w:t>Xzeres</w:t>
            </w:r>
            <w:proofErr w:type="spellEnd"/>
          </w:p>
        </w:tc>
      </w:tr>
    </w:tbl>
    <w:p w14:paraId="09A3C095" w14:textId="1DF2ABBA" w:rsidR="00515373" w:rsidRPr="00C25C51" w:rsidRDefault="007D0B34" w:rsidP="00D32354">
      <w:pPr>
        <w:pStyle w:val="Heading1"/>
        <w:rPr>
          <w:b/>
        </w:rPr>
      </w:pPr>
      <w:r w:rsidRPr="00C25C51">
        <w:t>Progress and Results</w:t>
      </w:r>
    </w:p>
    <w:p w14:paraId="21E5717E" w14:textId="6CF9621C" w:rsidR="00C11EC0" w:rsidRPr="00C25C51" w:rsidRDefault="007C52EB" w:rsidP="007746AD">
      <w:pPr>
        <w:jc w:val="both"/>
      </w:pPr>
      <w:r w:rsidRPr="00C25C51">
        <w:t xml:space="preserve">Econet Wireless </w:t>
      </w:r>
      <w:r w:rsidR="005550F8" w:rsidRPr="00C25C51">
        <w:t>provides</w:t>
      </w:r>
      <w:r w:rsidR="00482CFF" w:rsidRPr="00C25C51">
        <w:t xml:space="preserve"> the first Internet access and</w:t>
      </w:r>
      <w:r w:rsidR="005550F8" w:rsidRPr="00C25C51">
        <w:t xml:space="preserve"> the first electricity to </w:t>
      </w:r>
      <w:r w:rsidR="00761DD3" w:rsidRPr="00C25C51">
        <w:t xml:space="preserve">many </w:t>
      </w:r>
      <w:r w:rsidR="005550F8" w:rsidRPr="00C25C51">
        <w:t>communities</w:t>
      </w:r>
      <w:r w:rsidRPr="00C25C51">
        <w:t xml:space="preserve"> in rural areas of Zimbabwe. It offers </w:t>
      </w:r>
      <w:r w:rsidR="005550F8" w:rsidRPr="00C25C51">
        <w:t xml:space="preserve">home electricity for </w:t>
      </w:r>
      <w:r w:rsidRPr="00C25C51">
        <w:t xml:space="preserve">a </w:t>
      </w:r>
      <w:r w:rsidR="001B29E2">
        <w:t>US</w:t>
      </w:r>
      <w:r w:rsidR="00761DD3" w:rsidRPr="00C25C51">
        <w:t>$</w:t>
      </w:r>
      <w:r w:rsidR="001B29E2">
        <w:t xml:space="preserve"> </w:t>
      </w:r>
      <w:r w:rsidR="005550F8" w:rsidRPr="00C25C51">
        <w:t>6 installation</w:t>
      </w:r>
      <w:r w:rsidR="007C1E75" w:rsidRPr="00C25C51">
        <w:t xml:space="preserve"> fee and </w:t>
      </w:r>
      <w:r w:rsidR="001B29E2">
        <w:t>US</w:t>
      </w:r>
      <w:r w:rsidR="007C1E75" w:rsidRPr="00C25C51">
        <w:t>$</w:t>
      </w:r>
      <w:r w:rsidR="001B29E2">
        <w:t xml:space="preserve"> </w:t>
      </w:r>
      <w:r w:rsidR="005550F8" w:rsidRPr="00C25C51">
        <w:t>1 per week</w:t>
      </w:r>
      <w:r w:rsidR="007C1E75" w:rsidRPr="00C25C51">
        <w:t xml:space="preserve"> for service.</w:t>
      </w:r>
      <w:r w:rsidR="00D715AA" w:rsidRPr="00C25C51">
        <w:t xml:space="preserve"> </w:t>
      </w:r>
      <w:r w:rsidR="00E24723" w:rsidRPr="00C25C51">
        <w:t>Through its partnership with Energize the Chain,</w:t>
      </w:r>
      <w:r w:rsidR="00516463" w:rsidRPr="00C25C51">
        <w:t xml:space="preserve"> Econet Wireless has made an </w:t>
      </w:r>
      <w:r w:rsidR="00E24723" w:rsidRPr="00C25C51">
        <w:t>impact on the health outc</w:t>
      </w:r>
      <w:r w:rsidR="007C1E75" w:rsidRPr="00C25C51">
        <w:t xml:space="preserve">omes of the region’s children. </w:t>
      </w:r>
      <w:r w:rsidR="00E24723" w:rsidRPr="00C25C51">
        <w:t xml:space="preserve">As of 2015, </w:t>
      </w:r>
      <w:r w:rsidR="007C1E75" w:rsidRPr="00C25C51">
        <w:t>more than</w:t>
      </w:r>
      <w:r w:rsidR="00E24723" w:rsidRPr="00C25C51">
        <w:t xml:space="preserve"> 250,000 vaccines have been transported through or administered at 111 Energize the Chain sites in Zimbabwe.</w:t>
      </w:r>
      <w:r w:rsidR="007C1E75" w:rsidRPr="00C25C51">
        <w:t xml:space="preserve"> </w:t>
      </w:r>
      <w:r w:rsidR="006C25A5" w:rsidRPr="00C25C51">
        <w:t>By 2017, this had increa</w:t>
      </w:r>
      <w:r w:rsidR="007C1E75" w:rsidRPr="00C25C51">
        <w:t xml:space="preserve">sed to 312 sites in the country, </w:t>
      </w:r>
      <w:r w:rsidR="006C25A5" w:rsidRPr="00C25C51">
        <w:t xml:space="preserve">which lead to the vaccination of </w:t>
      </w:r>
      <w:r w:rsidR="007C1E75" w:rsidRPr="00C25C51">
        <w:t>more than</w:t>
      </w:r>
      <w:r w:rsidR="006C25A5" w:rsidRPr="00C25C51">
        <w:t xml:space="preserve"> 500,000 children.</w:t>
      </w:r>
    </w:p>
    <w:p w14:paraId="45879F85" w14:textId="4EBC7B4F" w:rsidR="004D2B81" w:rsidRPr="00C25C51" w:rsidRDefault="008E2325" w:rsidP="007746AD">
      <w:pPr>
        <w:jc w:val="both"/>
      </w:pPr>
      <w:r w:rsidRPr="00C25C51">
        <w:t>Moving outside of Zimbabwe, as of 2017, Energize the Chain is impleme</w:t>
      </w:r>
      <w:r w:rsidR="007C1E75" w:rsidRPr="00C25C51">
        <w:t xml:space="preserve">nting a plan in Ghana as well. </w:t>
      </w:r>
      <w:r w:rsidRPr="00C25C51">
        <w:t>C</w:t>
      </w:r>
      <w:r w:rsidR="003233EB" w:rsidRPr="00C25C51">
        <w:t>entering on the Upper East, Upper West, and Volta regions, the project will provide 31 high-need health clinics.</w:t>
      </w:r>
      <w:r w:rsidR="00966B17" w:rsidRPr="00C25C51">
        <w:t xml:space="preserve"> Planning</w:t>
      </w:r>
      <w:r w:rsidR="007C1E75" w:rsidRPr="00C25C51">
        <w:t xml:space="preserve"> and </w:t>
      </w:r>
      <w:r w:rsidR="00167B9C" w:rsidRPr="00C25C51">
        <w:t>implementation has also oc</w:t>
      </w:r>
      <w:r w:rsidR="007C1E75" w:rsidRPr="00C25C51">
        <w:t xml:space="preserve">curred in Lesotho and Burundi. </w:t>
      </w:r>
      <w:r w:rsidR="00167B9C" w:rsidRPr="00C25C51">
        <w:t>Outside of Africa, Energize the Chain is working in other parts of the world as well. In India, for example, the organization has five sites serving approximately 15,000 children.</w:t>
      </w:r>
      <w:r w:rsidR="00D715AA" w:rsidRPr="00C25C51">
        <w:t xml:space="preserve"> </w:t>
      </w:r>
      <w:r w:rsidR="00871C19" w:rsidRPr="00C25C51">
        <w:t xml:space="preserve">Finally, Energize the Chain is working on tangential projects such as infant biometrics and </w:t>
      </w:r>
      <w:r w:rsidR="00871C19" w:rsidRPr="00C25C51">
        <w:lastRenderedPageBreak/>
        <w:t>real-time surveillance of a host of variables related to the refrigerators</w:t>
      </w:r>
      <w:r w:rsidR="007F1A63" w:rsidRPr="00C25C51">
        <w:t>,</w:t>
      </w:r>
      <w:r w:rsidR="00871C19" w:rsidRPr="00C25C51">
        <w:t xml:space="preserve"> including inventory monitoring and int</w:t>
      </w:r>
      <w:r w:rsidR="007F1A63" w:rsidRPr="00C25C51">
        <w:t>erior and exterior temperatures reporting</w:t>
      </w:r>
      <w:r w:rsidR="00C11EC0" w:rsidRPr="00C25C51">
        <w:t>.</w:t>
      </w:r>
    </w:p>
    <w:p w14:paraId="690104A8" w14:textId="77777777" w:rsidR="00B254A8" w:rsidRPr="00C25C51" w:rsidRDefault="00B254A8" w:rsidP="00D32354">
      <w:pPr>
        <w:pStyle w:val="Heading1"/>
        <w:rPr>
          <w:b/>
        </w:rPr>
      </w:pPr>
      <w:r w:rsidRPr="00C25C51">
        <w:t>Challenges</w:t>
      </w:r>
    </w:p>
    <w:p w14:paraId="152331EC" w14:textId="078A3F57" w:rsidR="00871C19" w:rsidRPr="00C25C51" w:rsidRDefault="00871C19" w:rsidP="00D32354">
      <w:pPr>
        <w:jc w:val="both"/>
      </w:pPr>
      <w:r w:rsidRPr="00C25C51">
        <w:rPr>
          <w:rFonts w:cs="Times New Roman"/>
          <w:b/>
        </w:rPr>
        <w:t xml:space="preserve">Lack of affordable </w:t>
      </w:r>
      <w:r w:rsidR="00C561ED">
        <w:rPr>
          <w:rFonts w:cs="Times New Roman"/>
          <w:b/>
        </w:rPr>
        <w:t>access</w:t>
      </w:r>
      <w:r w:rsidR="000C7BB1" w:rsidRPr="00C25C51">
        <w:rPr>
          <w:rFonts w:cs="Times New Roman"/>
          <w:b/>
        </w:rPr>
        <w:t xml:space="preserve"> –</w:t>
      </w:r>
      <w:r w:rsidRPr="00C25C51">
        <w:t xml:space="preserve"> </w:t>
      </w:r>
      <w:r w:rsidRPr="00C25C51">
        <w:rPr>
          <w:rFonts w:cs="Times New Roman"/>
        </w:rPr>
        <w:t xml:space="preserve">Alliance for Affordable Internet </w:t>
      </w:r>
      <w:r w:rsidR="000C7BB1" w:rsidRPr="00C25C51">
        <w:rPr>
          <w:rFonts w:cs="Times New Roman"/>
        </w:rPr>
        <w:t xml:space="preserve">(A4AI) </w:t>
      </w:r>
      <w:r w:rsidRPr="00C25C51">
        <w:rPr>
          <w:rFonts w:cs="Times New Roman"/>
        </w:rPr>
        <w:t>estimates that 500</w:t>
      </w:r>
      <w:r w:rsidR="0005379F" w:rsidRPr="00C25C51">
        <w:rPr>
          <w:rFonts w:cs="Times New Roman"/>
        </w:rPr>
        <w:t xml:space="preserve"> megabytes (MB) </w:t>
      </w:r>
      <w:r w:rsidRPr="00C25C51">
        <w:rPr>
          <w:rFonts w:cs="Times New Roman"/>
        </w:rPr>
        <w:t xml:space="preserve">of mobile broadband costs nearly 30 percent of Zimbabwe’s </w:t>
      </w:r>
      <w:r w:rsidR="0005379F" w:rsidRPr="00C25C51">
        <w:rPr>
          <w:rFonts w:cs="Times New Roman"/>
        </w:rPr>
        <w:t>gross national income (</w:t>
      </w:r>
      <w:r w:rsidRPr="00C25C51">
        <w:rPr>
          <w:rFonts w:cs="Times New Roman"/>
        </w:rPr>
        <w:t>GNI</w:t>
      </w:r>
      <w:r w:rsidR="0005379F" w:rsidRPr="00C25C51">
        <w:rPr>
          <w:rFonts w:cs="Times New Roman"/>
        </w:rPr>
        <w:t xml:space="preserve">) per capita of </w:t>
      </w:r>
      <w:r w:rsidR="001B29E2">
        <w:rPr>
          <w:rFonts w:cs="Times New Roman"/>
        </w:rPr>
        <w:t>US</w:t>
      </w:r>
      <w:r w:rsidR="0005379F" w:rsidRPr="00C25C51">
        <w:rPr>
          <w:rFonts w:cs="Times New Roman"/>
        </w:rPr>
        <w:t>$</w:t>
      </w:r>
      <w:r w:rsidR="001B29E2">
        <w:rPr>
          <w:rFonts w:cs="Times New Roman"/>
        </w:rPr>
        <w:t xml:space="preserve"> </w:t>
      </w:r>
      <w:r w:rsidR="0005379F" w:rsidRPr="00C25C51">
        <w:rPr>
          <w:rFonts w:cs="Times New Roman"/>
        </w:rPr>
        <w:t>840, which is much above the 5 percent</w:t>
      </w:r>
      <w:r w:rsidRPr="00C25C51">
        <w:rPr>
          <w:rFonts w:cs="Times New Roman"/>
        </w:rPr>
        <w:t xml:space="preserve"> threshold set by the I</w:t>
      </w:r>
      <w:r w:rsidR="0005379F" w:rsidRPr="00C25C51">
        <w:rPr>
          <w:rFonts w:cs="Times New Roman"/>
        </w:rPr>
        <w:t xml:space="preserve">nternational </w:t>
      </w:r>
      <w:r w:rsidRPr="00C25C51">
        <w:rPr>
          <w:rFonts w:cs="Times New Roman"/>
        </w:rPr>
        <w:t>T</w:t>
      </w:r>
      <w:r w:rsidR="0005379F" w:rsidRPr="00C25C51">
        <w:rPr>
          <w:rFonts w:cs="Times New Roman"/>
        </w:rPr>
        <w:t xml:space="preserve">elecommunication </w:t>
      </w:r>
      <w:r w:rsidRPr="00C25C51">
        <w:rPr>
          <w:rFonts w:cs="Times New Roman"/>
        </w:rPr>
        <w:t>U</w:t>
      </w:r>
      <w:r w:rsidR="0005379F" w:rsidRPr="00C25C51">
        <w:rPr>
          <w:rFonts w:cs="Times New Roman"/>
        </w:rPr>
        <w:t>nion (ITU)</w:t>
      </w:r>
      <w:r w:rsidRPr="00C25C51">
        <w:rPr>
          <w:rFonts w:cs="Times New Roman"/>
        </w:rPr>
        <w:t>.</w:t>
      </w:r>
      <w:r w:rsidRPr="00C25C51">
        <w:t xml:space="preserve"> </w:t>
      </w:r>
    </w:p>
    <w:p w14:paraId="417D0F58" w14:textId="0460390F" w:rsidR="00B254A8" w:rsidRPr="00C25C51" w:rsidRDefault="00C561ED" w:rsidP="00D32354">
      <w:pPr>
        <w:jc w:val="both"/>
        <w:rPr>
          <w:rFonts w:eastAsia="Times New Roman" w:cs="Times New Roman"/>
          <w:shd w:val="clear" w:color="auto" w:fill="FAFAFA"/>
        </w:rPr>
      </w:pPr>
      <w:r>
        <w:rPr>
          <w:rFonts w:cs="Times New Roman"/>
          <w:b/>
        </w:rPr>
        <w:t xml:space="preserve">Limited and irregular electricity access </w:t>
      </w:r>
      <w:r w:rsidR="000C7BB1" w:rsidRPr="00C25C51">
        <w:rPr>
          <w:rFonts w:cs="Times New Roman"/>
          <w:b/>
        </w:rPr>
        <w:t xml:space="preserve">– </w:t>
      </w:r>
      <w:r w:rsidR="00B254A8" w:rsidRPr="00C25C51">
        <w:rPr>
          <w:rFonts w:cs="Times New Roman"/>
        </w:rPr>
        <w:t xml:space="preserve">Most of the rural areas in Zimbabwe do not </w:t>
      </w:r>
      <w:r w:rsidR="0005379F" w:rsidRPr="00C25C51">
        <w:rPr>
          <w:rFonts w:cs="Times New Roman"/>
        </w:rPr>
        <w:t>have reliable sources of power, which presents major challenges to connectivity since</w:t>
      </w:r>
      <w:r w:rsidR="00B254A8" w:rsidRPr="00C25C51">
        <w:rPr>
          <w:rFonts w:cs="Times New Roman"/>
        </w:rPr>
        <w:t xml:space="preserve"> </w:t>
      </w:r>
      <w:r w:rsidR="0005379F" w:rsidRPr="00C25C51">
        <w:rPr>
          <w:rFonts w:cs="Times New Roman"/>
        </w:rPr>
        <w:t>cellular</w:t>
      </w:r>
      <w:r w:rsidR="00025A0D" w:rsidRPr="00C25C51">
        <w:rPr>
          <w:rFonts w:cs="Times New Roman"/>
        </w:rPr>
        <w:t xml:space="preserve"> towers require constant</w:t>
      </w:r>
      <w:r w:rsidR="00B254A8" w:rsidRPr="00C25C51">
        <w:rPr>
          <w:rFonts w:cs="Times New Roman"/>
        </w:rPr>
        <w:t xml:space="preserve"> power to remain functional. Immunization programs struggle with several basic obstacles in vaccine refrigeration and delivery due to unreliable energy sources and irregular equipment maintenance</w:t>
      </w:r>
      <w:r w:rsidR="00025A0D" w:rsidRPr="00C25C51">
        <w:rPr>
          <w:rFonts w:cs="Times New Roman"/>
        </w:rPr>
        <w:t xml:space="preserve"> as well.</w:t>
      </w:r>
    </w:p>
    <w:p w14:paraId="5CCBDE2A" w14:textId="7361DEA0" w:rsidR="004D2B81" w:rsidRPr="00C25C51" w:rsidRDefault="00C561ED" w:rsidP="00D32354">
      <w:pPr>
        <w:jc w:val="both"/>
        <w:rPr>
          <w:rFonts w:cs="Times New Roman"/>
        </w:rPr>
      </w:pPr>
      <w:r>
        <w:rPr>
          <w:rFonts w:cs="Times New Roman"/>
          <w:b/>
        </w:rPr>
        <w:t xml:space="preserve">Insufficient data </w:t>
      </w:r>
      <w:bookmarkStart w:id="0" w:name="_GoBack"/>
      <w:bookmarkEnd w:id="0"/>
      <w:r w:rsidR="000C7BB1" w:rsidRPr="00C25C51">
        <w:rPr>
          <w:rFonts w:cs="Times New Roman"/>
          <w:b/>
        </w:rPr>
        <w:t>–</w:t>
      </w:r>
      <w:r w:rsidR="000C7BB1" w:rsidRPr="00C25C51">
        <w:rPr>
          <w:rFonts w:cs="Times New Roman"/>
        </w:rPr>
        <w:t xml:space="preserve"> </w:t>
      </w:r>
      <w:r w:rsidR="004D2B81" w:rsidRPr="00C25C51">
        <w:rPr>
          <w:rFonts w:cs="Times New Roman"/>
        </w:rPr>
        <w:t>The remoteness of the vaccine shelters make it difficult to know the available inventory, especially in cases of mul</w:t>
      </w:r>
      <w:r w:rsidR="00025A0D" w:rsidRPr="00C25C51">
        <w:rPr>
          <w:rFonts w:cs="Times New Roman"/>
        </w:rPr>
        <w:t xml:space="preserve">tiple administration vaccines. </w:t>
      </w:r>
      <w:r w:rsidR="004D2B81" w:rsidRPr="00C25C51">
        <w:rPr>
          <w:rFonts w:cs="Times New Roman"/>
        </w:rPr>
        <w:t>Energize the Chain and other organizations are seeking ways to have real-time inventory management to insure healthcare providers have the necessary vaccines available as needed.</w:t>
      </w:r>
    </w:p>
    <w:p w14:paraId="149E02F5" w14:textId="264011FE" w:rsidR="00515373" w:rsidRPr="00C25C51" w:rsidRDefault="00C11EC0" w:rsidP="00D32354">
      <w:pPr>
        <w:pStyle w:val="Heading1"/>
        <w:rPr>
          <w:b/>
        </w:rPr>
      </w:pPr>
      <w:r w:rsidRPr="00C25C51">
        <w:t>Econet Wireless’ Suggestions for Future Projects</w:t>
      </w:r>
    </w:p>
    <w:p w14:paraId="7354F480" w14:textId="6E0167ED" w:rsidR="00871C19" w:rsidRPr="00C25C51" w:rsidRDefault="00C11EC0" w:rsidP="007746AD">
      <w:pPr>
        <w:jc w:val="both"/>
        <w:rPr>
          <w:rFonts w:cs="Times New Roman"/>
        </w:rPr>
      </w:pPr>
      <w:r w:rsidRPr="00C25C51">
        <w:rPr>
          <w:rFonts w:cs="Times New Roman"/>
          <w:b/>
        </w:rPr>
        <w:t xml:space="preserve">Co-location is important – </w:t>
      </w:r>
      <w:r w:rsidR="00871C19" w:rsidRPr="00C25C51">
        <w:rPr>
          <w:rFonts w:cs="Times New Roman"/>
        </w:rPr>
        <w:t xml:space="preserve">The exponential growth of mobile networks in the developing world far </w:t>
      </w:r>
      <w:r w:rsidR="00025A0D" w:rsidRPr="00C25C51">
        <w:rPr>
          <w:rFonts w:cs="Times New Roman"/>
        </w:rPr>
        <w:t>outpaces broadband penetration.</w:t>
      </w:r>
      <w:r w:rsidR="00871C19" w:rsidRPr="00C25C51">
        <w:rPr>
          <w:rFonts w:cs="Times New Roman"/>
        </w:rPr>
        <w:t xml:space="preserve"> Since customers demand uninterrupted service, mobile companies work tirelessly to ma</w:t>
      </w:r>
      <w:r w:rsidR="00025A0D" w:rsidRPr="00C25C51">
        <w:rPr>
          <w:rFonts w:cs="Times New Roman"/>
        </w:rPr>
        <w:t xml:space="preserve">intain power at mobile towers. </w:t>
      </w:r>
      <w:r w:rsidR="00871C19" w:rsidRPr="00C25C51">
        <w:rPr>
          <w:rFonts w:cs="Times New Roman"/>
        </w:rPr>
        <w:t>By making use of the superfluous power from these towers, refrigerators</w:t>
      </w:r>
      <w:r w:rsidR="007F1A63" w:rsidRPr="00C25C51">
        <w:rPr>
          <w:rFonts w:cs="Times New Roman"/>
        </w:rPr>
        <w:t xml:space="preserve"> will always have electricity</w:t>
      </w:r>
      <w:r w:rsidR="00025A0D" w:rsidRPr="00C25C51">
        <w:rPr>
          <w:rFonts w:cs="Times New Roman"/>
        </w:rPr>
        <w:t xml:space="preserve">. </w:t>
      </w:r>
      <w:r w:rsidR="00871C19" w:rsidRPr="00C25C51">
        <w:rPr>
          <w:rFonts w:cs="Times New Roman"/>
        </w:rPr>
        <w:t>In practice, this guarantees a more efficacious vaccine distribution model and saves children’s lives.</w:t>
      </w:r>
    </w:p>
    <w:p w14:paraId="20221E13" w14:textId="47E5EB77" w:rsidR="00871C19" w:rsidRPr="00C25C51" w:rsidRDefault="007F1A63" w:rsidP="007746AD">
      <w:pPr>
        <w:jc w:val="both"/>
        <w:rPr>
          <w:rFonts w:cs="Times New Roman"/>
        </w:rPr>
      </w:pPr>
      <w:r w:rsidRPr="00C25C51">
        <w:rPr>
          <w:rFonts w:cs="Times New Roman"/>
          <w:b/>
        </w:rPr>
        <w:t>Not-geographically bound</w:t>
      </w:r>
      <w:r w:rsidR="00C11EC0" w:rsidRPr="00C25C51">
        <w:rPr>
          <w:rFonts w:cs="Times New Roman"/>
          <w:b/>
        </w:rPr>
        <w:t xml:space="preserve"> </w:t>
      </w:r>
      <w:r w:rsidR="00C11EC0" w:rsidRPr="00C25C51">
        <w:rPr>
          <w:rFonts w:cs="Times New Roman"/>
          <w:b/>
        </w:rPr>
        <w:softHyphen/>
        <w:t xml:space="preserve">– </w:t>
      </w:r>
      <w:r w:rsidRPr="00C25C51">
        <w:rPr>
          <w:rFonts w:cs="Times New Roman"/>
        </w:rPr>
        <w:t>Energize the Chain’s models are not specific to the are</w:t>
      </w:r>
      <w:r w:rsidR="000C7BB1" w:rsidRPr="00C25C51">
        <w:rPr>
          <w:rFonts w:cs="Times New Roman"/>
        </w:rPr>
        <w:t xml:space="preserve">as where they have run pilots. </w:t>
      </w:r>
      <w:r w:rsidRPr="00C25C51">
        <w:rPr>
          <w:rFonts w:cs="Times New Roman"/>
        </w:rPr>
        <w:t>Impediments to herd vaccinations and connectivity are generally uniform across the developing world</w:t>
      </w:r>
      <w:r w:rsidR="00025A0D" w:rsidRPr="00C25C51">
        <w:rPr>
          <w:rFonts w:cs="Times New Roman"/>
        </w:rPr>
        <w:t>, with only minor alterations. Additionally, i</w:t>
      </w:r>
      <w:r w:rsidRPr="00C25C51">
        <w:rPr>
          <w:rFonts w:cs="Times New Roman"/>
        </w:rPr>
        <w:t>t was not difficult for Energize the Chain to export their model from South Africa to the Indian subcontinent.</w:t>
      </w:r>
    </w:p>
    <w:p w14:paraId="595FCBE7" w14:textId="7140EA74" w:rsidR="006D07B2" w:rsidRPr="00C25C51" w:rsidRDefault="003233EB" w:rsidP="00D32354">
      <w:pPr>
        <w:pStyle w:val="Heading1"/>
        <w:rPr>
          <w:b/>
        </w:rPr>
      </w:pPr>
      <w:r w:rsidRPr="00C25C51">
        <w:t>Sources</w:t>
      </w:r>
    </w:p>
    <w:p w14:paraId="3BCBF34E" w14:textId="77777777" w:rsidR="008A0719" w:rsidRPr="00C25C51" w:rsidRDefault="008A0719" w:rsidP="007746AD">
      <w:pPr>
        <w:contextualSpacing/>
        <w:rPr>
          <w:rFonts w:cs="Times New Roman"/>
        </w:rPr>
      </w:pPr>
      <w:r w:rsidRPr="00C25C51">
        <w:rPr>
          <w:rFonts w:cs="Times New Roman"/>
        </w:rPr>
        <w:t>Rubin, H. (2016, September 29) Personal Interview</w:t>
      </w:r>
    </w:p>
    <w:p w14:paraId="626F4C10" w14:textId="1A41CC3B" w:rsidR="00C11EC0" w:rsidRPr="00C25C51" w:rsidRDefault="00A053E0" w:rsidP="007746AD">
      <w:pPr>
        <w:contextualSpacing/>
        <w:rPr>
          <w:rFonts w:eastAsia="Times New Roman" w:cs="Times New Roman"/>
          <w:shd w:val="clear" w:color="auto" w:fill="FAFAFA"/>
        </w:rPr>
      </w:pPr>
      <w:r w:rsidRPr="00C25C51">
        <w:rPr>
          <w:rFonts w:cs="Times New Roman"/>
        </w:rPr>
        <w:t xml:space="preserve">Project website: </w:t>
      </w:r>
      <w:hyperlink r:id="rId9" w:history="1">
        <w:r w:rsidRPr="00C25C51">
          <w:rPr>
            <w:rStyle w:val="Hyperlink"/>
            <w:rFonts w:cs="Times New Roman"/>
            <w:color w:val="auto"/>
            <w:u w:val="none"/>
          </w:rPr>
          <w:t>http://www.energizethechain.org/</w:t>
        </w:r>
      </w:hyperlink>
    </w:p>
    <w:p w14:paraId="32AAA6DF" w14:textId="0E5BB56D" w:rsidR="006D07B2" w:rsidRPr="00C25C51" w:rsidRDefault="00A053E0" w:rsidP="007746AD">
      <w:pPr>
        <w:contextualSpacing/>
        <w:jc w:val="both"/>
        <w:rPr>
          <w:rFonts w:cs="Times New Roman"/>
        </w:rPr>
      </w:pPr>
      <w:r w:rsidRPr="00C25C51">
        <w:rPr>
          <w:rFonts w:cs="Times New Roman"/>
        </w:rPr>
        <w:t>Project v</w:t>
      </w:r>
      <w:r w:rsidR="006D07B2" w:rsidRPr="00C25C51">
        <w:rPr>
          <w:rFonts w:cs="Times New Roman"/>
        </w:rPr>
        <w:t>ideos:</w:t>
      </w:r>
      <w:r w:rsidR="008A0719" w:rsidRPr="00C25C51">
        <w:rPr>
          <w:rFonts w:cs="Times New Roman"/>
        </w:rPr>
        <w:t xml:space="preserve"> </w:t>
      </w:r>
      <w:hyperlink r:id="rId10" w:history="1">
        <w:r w:rsidR="006D07B2" w:rsidRPr="00C25C51">
          <w:rPr>
            <w:rStyle w:val="Hyperlink"/>
            <w:rFonts w:cs="Times New Roman"/>
            <w:color w:val="auto"/>
            <w:u w:val="none"/>
          </w:rPr>
          <w:t>https://www.youtube.com/watch?v=B6STcFfKFVU&amp;feature=youtu.be</w:t>
        </w:r>
      </w:hyperlink>
    </w:p>
    <w:p w14:paraId="4B1E4FB5" w14:textId="15A20280" w:rsidR="006D07B2" w:rsidRPr="00C25C51" w:rsidRDefault="00AD0CC5" w:rsidP="007746AD">
      <w:pPr>
        <w:contextualSpacing/>
        <w:jc w:val="both"/>
        <w:rPr>
          <w:rFonts w:cs="Times New Roman"/>
        </w:rPr>
      </w:pPr>
      <w:hyperlink r:id="rId11" w:history="1">
        <w:r w:rsidR="006D07B2" w:rsidRPr="00C25C51">
          <w:rPr>
            <w:rStyle w:val="Hyperlink"/>
            <w:rFonts w:cs="Times New Roman"/>
            <w:color w:val="auto"/>
            <w:u w:val="none"/>
          </w:rPr>
          <w:t>https://www.youtube.com/watch?v=4vGCS9n_Pjs</w:t>
        </w:r>
      </w:hyperlink>
    </w:p>
    <w:p w14:paraId="4C6A1E2C" w14:textId="5C782EF7" w:rsidR="006D07B2" w:rsidRPr="00C25C51" w:rsidRDefault="006D07B2" w:rsidP="007746AD">
      <w:pPr>
        <w:ind w:left="720" w:hanging="720"/>
        <w:contextualSpacing/>
        <w:jc w:val="both"/>
        <w:rPr>
          <w:rFonts w:cs="Times New Roman"/>
        </w:rPr>
      </w:pPr>
      <w:r w:rsidRPr="00C25C51">
        <w:rPr>
          <w:rFonts w:cs="Times New Roman"/>
        </w:rPr>
        <w:t>A</w:t>
      </w:r>
      <w:r w:rsidR="00A505F4" w:rsidRPr="00C25C51">
        <w:rPr>
          <w:rFonts w:cs="Times New Roman"/>
        </w:rPr>
        <w:t xml:space="preserve">ndre, F., </w:t>
      </w:r>
      <w:r w:rsidR="00C11EC0" w:rsidRPr="00C25C51">
        <w:rPr>
          <w:rFonts w:cs="Times New Roman"/>
        </w:rPr>
        <w:t xml:space="preserve">et al. (2016). </w:t>
      </w:r>
      <w:r w:rsidRPr="00C25C51">
        <w:rPr>
          <w:rFonts w:cs="Times New Roman"/>
        </w:rPr>
        <w:t>“Vaccination greatly reduces disease, disability, death and inequity worldwide.” Bulletin of the World Health Organization.</w:t>
      </w:r>
      <w:r w:rsidR="00A053E0" w:rsidRPr="00C25C51">
        <w:rPr>
          <w:rFonts w:cs="Times New Roman"/>
        </w:rPr>
        <w:t xml:space="preserve"> Available at: </w:t>
      </w:r>
      <w:hyperlink r:id="rId12" w:history="1">
        <w:r w:rsidRPr="00C25C51">
          <w:rPr>
            <w:rStyle w:val="Hyperlink"/>
            <w:rFonts w:cs="Times New Roman"/>
            <w:color w:val="auto"/>
            <w:u w:val="none"/>
          </w:rPr>
          <w:t>http://www.who.int/bulletin/volumes/86/2/07-040089/en/</w:t>
        </w:r>
      </w:hyperlink>
    </w:p>
    <w:p w14:paraId="1D18254C" w14:textId="2E819207" w:rsidR="003233EB" w:rsidRPr="00C25C51" w:rsidRDefault="00A053E0" w:rsidP="007746AD">
      <w:pPr>
        <w:ind w:left="720" w:hanging="720"/>
        <w:contextualSpacing/>
        <w:jc w:val="both"/>
        <w:rPr>
          <w:rFonts w:cs="Times New Roman"/>
        </w:rPr>
      </w:pPr>
      <w:r w:rsidRPr="00C25C51">
        <w:rPr>
          <w:rFonts w:cs="Times New Roman"/>
        </w:rPr>
        <w:t>Barbara</w:t>
      </w:r>
      <w:r w:rsidR="00A505F4" w:rsidRPr="00C25C51">
        <w:rPr>
          <w:rFonts w:cs="Times New Roman"/>
        </w:rPr>
        <w:t>, C</w:t>
      </w:r>
      <w:r w:rsidR="00C11EC0" w:rsidRPr="00C25C51">
        <w:rPr>
          <w:rFonts w:cs="Times New Roman"/>
        </w:rPr>
        <w:t xml:space="preserve">. (2017). </w:t>
      </w:r>
      <w:r w:rsidR="006D07B2" w:rsidRPr="00C25C51">
        <w:rPr>
          <w:rFonts w:cs="Times New Roman"/>
        </w:rPr>
        <w:t>“Impact Evaluation Design for Energize the Chain: A Vaccine Cold</w:t>
      </w:r>
      <w:r w:rsidR="00C11EC0" w:rsidRPr="00C25C51">
        <w:rPr>
          <w:rFonts w:cs="Times New Roman"/>
        </w:rPr>
        <w:t xml:space="preserve"> Chain Intervention in Ghana.” </w:t>
      </w:r>
      <w:r w:rsidR="006D07B2" w:rsidRPr="00C25C51">
        <w:rPr>
          <w:rFonts w:cs="Times New Roman"/>
        </w:rPr>
        <w:t xml:space="preserve">University of Pennsylvania </w:t>
      </w:r>
      <w:proofErr w:type="spellStart"/>
      <w:r w:rsidR="006D07B2" w:rsidRPr="00C25C51">
        <w:rPr>
          <w:rFonts w:cs="Times New Roman"/>
        </w:rPr>
        <w:t>Presentation.</w:t>
      </w:r>
      <w:r w:rsidR="00A505F4" w:rsidRPr="00C25C51">
        <w:rPr>
          <w:rFonts w:cs="Times New Roman"/>
        </w:rPr>
        <w:t>Rubin</w:t>
      </w:r>
      <w:proofErr w:type="spellEnd"/>
      <w:r w:rsidR="00A505F4" w:rsidRPr="00C25C51">
        <w:rPr>
          <w:rFonts w:cs="Times New Roman"/>
        </w:rPr>
        <w:t>, H. and Conant, A</w:t>
      </w:r>
      <w:r w:rsidR="00C5596E" w:rsidRPr="00C25C51">
        <w:rPr>
          <w:rFonts w:cs="Times New Roman"/>
        </w:rPr>
        <w:t>. (2010). “‘Off-grid’ cellphone towers could save lives.” New Scientist.</w:t>
      </w:r>
      <w:r w:rsidRPr="00C25C51">
        <w:rPr>
          <w:rFonts w:cs="Times New Roman"/>
        </w:rPr>
        <w:t xml:space="preserve"> </w:t>
      </w:r>
    </w:p>
    <w:sectPr w:rsidR="003233EB" w:rsidRPr="00C25C51" w:rsidSect="007230D2"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85816" w14:textId="77777777" w:rsidR="00AD0CC5" w:rsidRDefault="00AD0CC5" w:rsidP="00D733CF">
      <w:r>
        <w:separator/>
      </w:r>
    </w:p>
  </w:endnote>
  <w:endnote w:type="continuationSeparator" w:id="0">
    <w:p w14:paraId="429CDA3A" w14:textId="77777777" w:rsidR="00AD0CC5" w:rsidRDefault="00AD0CC5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9643" w14:textId="77777777" w:rsidR="00A053E0" w:rsidRDefault="00A053E0" w:rsidP="00CF023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B4BCD1" w14:textId="77777777" w:rsidR="00A053E0" w:rsidRDefault="00A05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D573D" w14:textId="77777777" w:rsidR="00A053E0" w:rsidRDefault="00A053E0" w:rsidP="00D32354">
    <w:pPr>
      <w:pStyle w:val="Footer"/>
      <w:framePr w:wrap="none" w:vAnchor="text" w:hAnchor="margin" w:xAlign="center" w:y="1"/>
      <w:spacing w:after="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14E7">
      <w:rPr>
        <w:rStyle w:val="PageNumber"/>
        <w:noProof/>
      </w:rPr>
      <w:t>4</w:t>
    </w:r>
    <w:r>
      <w:rPr>
        <w:rStyle w:val="PageNumber"/>
      </w:rPr>
      <w:fldChar w:fldCharType="end"/>
    </w:r>
  </w:p>
  <w:p w14:paraId="4A811724" w14:textId="1F9C7547" w:rsidR="0005379F" w:rsidRPr="00646209" w:rsidRDefault="0005379F" w:rsidP="00D32354">
    <w:pPr>
      <w:pStyle w:val="Footer"/>
      <w:spacing w:after="0"/>
      <w:mirrorIndents/>
      <w:jc w:val="cen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D3C82" w14:textId="77777777" w:rsidR="00A053E0" w:rsidRDefault="00A053E0" w:rsidP="00D32354">
    <w:pPr>
      <w:pStyle w:val="Footer"/>
      <w:framePr w:wrap="none" w:vAnchor="text" w:hAnchor="margin" w:xAlign="center" w:y="1"/>
      <w:spacing w:after="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46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E13CE0" w14:textId="76E94393" w:rsidR="00A053E0" w:rsidRDefault="00A053E0" w:rsidP="00D32354">
    <w:pPr>
      <w:pStyle w:val="Footer"/>
      <w:spacing w:after="0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54D64" w14:textId="77777777" w:rsidR="00AD0CC5" w:rsidRDefault="00AD0CC5" w:rsidP="00D733CF">
      <w:r>
        <w:separator/>
      </w:r>
    </w:p>
  </w:footnote>
  <w:footnote w:type="continuationSeparator" w:id="0">
    <w:p w14:paraId="64D5B999" w14:textId="77777777" w:rsidR="00AD0CC5" w:rsidRDefault="00AD0CC5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50F42" w14:textId="5FAF3A9E" w:rsidR="0005379F" w:rsidRDefault="00A053E0" w:rsidP="00A053E0">
    <w:pPr>
      <w:pStyle w:val="Header"/>
      <w:tabs>
        <w:tab w:val="clear" w:pos="4680"/>
        <w:tab w:val="clear" w:pos="9360"/>
        <w:tab w:val="left" w:pos="6865"/>
      </w:tabs>
      <w:ind w:right="-1150" w:hanging="117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2E2C0F" wp14:editId="50EDB40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27700" cy="1130300"/>
          <wp:effectExtent l="0" t="0" r="0" b="0"/>
          <wp:wrapTight wrapText="bothSides">
            <wp:wrapPolygon edited="0">
              <wp:start x="1580" y="0"/>
              <wp:lineTo x="1293" y="243"/>
              <wp:lineTo x="335" y="3398"/>
              <wp:lineTo x="0" y="7524"/>
              <wp:lineTo x="0" y="13106"/>
              <wp:lineTo x="96" y="15533"/>
              <wp:lineTo x="718" y="19416"/>
              <wp:lineTo x="766" y="19658"/>
              <wp:lineTo x="1485" y="21357"/>
              <wp:lineTo x="1580" y="21357"/>
              <wp:lineTo x="2682" y="21357"/>
              <wp:lineTo x="2778" y="21357"/>
              <wp:lineTo x="3496" y="19658"/>
              <wp:lineTo x="3496" y="19416"/>
              <wp:lineTo x="21552" y="17717"/>
              <wp:lineTo x="21552" y="4369"/>
              <wp:lineTo x="3975" y="3155"/>
              <wp:lineTo x="3065" y="485"/>
              <wp:lineTo x="2682" y="0"/>
              <wp:lineTo x="1580" y="0"/>
            </wp:wrapPolygon>
          </wp:wrapTight>
          <wp:docPr id="1" name="Picture 1" descr="../One-World-Connected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One-World-Connected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F00970"/>
    <w:multiLevelType w:val="hybridMultilevel"/>
    <w:tmpl w:val="94282BCC"/>
    <w:lvl w:ilvl="0" w:tplc="BAF8305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B244AFC">
      <w:start w:val="1"/>
      <w:numFmt w:val="bullet"/>
      <w:lvlText w:val="•"/>
      <w:lvlJc w:val="left"/>
      <w:pPr>
        <w:ind w:left="32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19AADFC">
      <w:start w:val="1"/>
      <w:numFmt w:val="bullet"/>
      <w:lvlText w:val="•"/>
      <w:lvlJc w:val="left"/>
      <w:pPr>
        <w:ind w:left="48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7F20D02">
      <w:start w:val="1"/>
      <w:numFmt w:val="bullet"/>
      <w:lvlText w:val="•"/>
      <w:lvlJc w:val="left"/>
      <w:pPr>
        <w:ind w:left="64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744D6E8">
      <w:start w:val="1"/>
      <w:numFmt w:val="bullet"/>
      <w:lvlText w:val="•"/>
      <w:lvlJc w:val="left"/>
      <w:pPr>
        <w:ind w:left="80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2284586">
      <w:start w:val="1"/>
      <w:numFmt w:val="bullet"/>
      <w:lvlText w:val="•"/>
      <w:lvlJc w:val="left"/>
      <w:pPr>
        <w:ind w:left="96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F3C89CA">
      <w:start w:val="1"/>
      <w:numFmt w:val="bullet"/>
      <w:lvlText w:val="•"/>
      <w:lvlJc w:val="left"/>
      <w:pPr>
        <w:ind w:left="112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F22D472">
      <w:start w:val="1"/>
      <w:numFmt w:val="bullet"/>
      <w:lvlText w:val="•"/>
      <w:lvlJc w:val="left"/>
      <w:pPr>
        <w:ind w:left="128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64C6086">
      <w:start w:val="1"/>
      <w:numFmt w:val="bullet"/>
      <w:lvlText w:val="•"/>
      <w:lvlJc w:val="left"/>
      <w:pPr>
        <w:ind w:left="144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892"/>
    <w:rsid w:val="00005BB1"/>
    <w:rsid w:val="00025143"/>
    <w:rsid w:val="00025A0D"/>
    <w:rsid w:val="0005379F"/>
    <w:rsid w:val="000872F9"/>
    <w:rsid w:val="000A411F"/>
    <w:rsid w:val="000C7BB1"/>
    <w:rsid w:val="000F515E"/>
    <w:rsid w:val="00112E9F"/>
    <w:rsid w:val="00145821"/>
    <w:rsid w:val="00167B9C"/>
    <w:rsid w:val="001A05F6"/>
    <w:rsid w:val="001B29E2"/>
    <w:rsid w:val="001D001D"/>
    <w:rsid w:val="001D476E"/>
    <w:rsid w:val="002247C5"/>
    <w:rsid w:val="002403F9"/>
    <w:rsid w:val="002420BE"/>
    <w:rsid w:val="00255CB2"/>
    <w:rsid w:val="00264B0B"/>
    <w:rsid w:val="00266898"/>
    <w:rsid w:val="00284554"/>
    <w:rsid w:val="002A46AE"/>
    <w:rsid w:val="002C2010"/>
    <w:rsid w:val="002C78A0"/>
    <w:rsid w:val="002F49F0"/>
    <w:rsid w:val="00304BA9"/>
    <w:rsid w:val="00310508"/>
    <w:rsid w:val="003233EB"/>
    <w:rsid w:val="003423E4"/>
    <w:rsid w:val="00346B6C"/>
    <w:rsid w:val="00365C1B"/>
    <w:rsid w:val="00376DAD"/>
    <w:rsid w:val="003858E8"/>
    <w:rsid w:val="00397460"/>
    <w:rsid w:val="003B22A0"/>
    <w:rsid w:val="003E6457"/>
    <w:rsid w:val="00413700"/>
    <w:rsid w:val="0044442A"/>
    <w:rsid w:val="00471F90"/>
    <w:rsid w:val="00482CFF"/>
    <w:rsid w:val="004A2163"/>
    <w:rsid w:val="004D2B81"/>
    <w:rsid w:val="004F48E1"/>
    <w:rsid w:val="00511DBA"/>
    <w:rsid w:val="00515373"/>
    <w:rsid w:val="00516463"/>
    <w:rsid w:val="00550121"/>
    <w:rsid w:val="005550F8"/>
    <w:rsid w:val="00557065"/>
    <w:rsid w:val="00585F60"/>
    <w:rsid w:val="005B397F"/>
    <w:rsid w:val="005C6580"/>
    <w:rsid w:val="005F0787"/>
    <w:rsid w:val="00646209"/>
    <w:rsid w:val="00653354"/>
    <w:rsid w:val="00653B61"/>
    <w:rsid w:val="00654A82"/>
    <w:rsid w:val="00661004"/>
    <w:rsid w:val="00672730"/>
    <w:rsid w:val="006804C9"/>
    <w:rsid w:val="00680B71"/>
    <w:rsid w:val="006862A2"/>
    <w:rsid w:val="00691D19"/>
    <w:rsid w:val="006C25A5"/>
    <w:rsid w:val="006D07B2"/>
    <w:rsid w:val="006E5E50"/>
    <w:rsid w:val="007230D2"/>
    <w:rsid w:val="00752371"/>
    <w:rsid w:val="00761DD3"/>
    <w:rsid w:val="007746AD"/>
    <w:rsid w:val="007C1E75"/>
    <w:rsid w:val="007C52EB"/>
    <w:rsid w:val="007D0B34"/>
    <w:rsid w:val="007F1A63"/>
    <w:rsid w:val="007F35B3"/>
    <w:rsid w:val="00820707"/>
    <w:rsid w:val="00835548"/>
    <w:rsid w:val="00870292"/>
    <w:rsid w:val="00870754"/>
    <w:rsid w:val="00871C19"/>
    <w:rsid w:val="00897F5C"/>
    <w:rsid w:val="008A0719"/>
    <w:rsid w:val="008A1A4B"/>
    <w:rsid w:val="008C43FC"/>
    <w:rsid w:val="008E2325"/>
    <w:rsid w:val="008E3431"/>
    <w:rsid w:val="00927A2A"/>
    <w:rsid w:val="009378D0"/>
    <w:rsid w:val="00966B17"/>
    <w:rsid w:val="00967050"/>
    <w:rsid w:val="009C7C26"/>
    <w:rsid w:val="009E56D3"/>
    <w:rsid w:val="00A053E0"/>
    <w:rsid w:val="00A3488F"/>
    <w:rsid w:val="00A505F4"/>
    <w:rsid w:val="00AC387F"/>
    <w:rsid w:val="00AD0CC5"/>
    <w:rsid w:val="00AD4B4C"/>
    <w:rsid w:val="00B102CB"/>
    <w:rsid w:val="00B254A8"/>
    <w:rsid w:val="00B442C0"/>
    <w:rsid w:val="00B53BC7"/>
    <w:rsid w:val="00B67A60"/>
    <w:rsid w:val="00BB788F"/>
    <w:rsid w:val="00BC3C5F"/>
    <w:rsid w:val="00BD2FBF"/>
    <w:rsid w:val="00BE64A2"/>
    <w:rsid w:val="00C0671D"/>
    <w:rsid w:val="00C11EC0"/>
    <w:rsid w:val="00C25C51"/>
    <w:rsid w:val="00C5596E"/>
    <w:rsid w:val="00C561ED"/>
    <w:rsid w:val="00C607FB"/>
    <w:rsid w:val="00C71879"/>
    <w:rsid w:val="00C72DAE"/>
    <w:rsid w:val="00C77BC5"/>
    <w:rsid w:val="00C84B3F"/>
    <w:rsid w:val="00C90704"/>
    <w:rsid w:val="00CA7892"/>
    <w:rsid w:val="00CC76A6"/>
    <w:rsid w:val="00CE47E0"/>
    <w:rsid w:val="00D17D50"/>
    <w:rsid w:val="00D32354"/>
    <w:rsid w:val="00D57A69"/>
    <w:rsid w:val="00D715AA"/>
    <w:rsid w:val="00D733CF"/>
    <w:rsid w:val="00D921A9"/>
    <w:rsid w:val="00D93D8E"/>
    <w:rsid w:val="00D94B3E"/>
    <w:rsid w:val="00DA1F47"/>
    <w:rsid w:val="00E014E7"/>
    <w:rsid w:val="00E10521"/>
    <w:rsid w:val="00E12A16"/>
    <w:rsid w:val="00E23821"/>
    <w:rsid w:val="00E24723"/>
    <w:rsid w:val="00E431D1"/>
    <w:rsid w:val="00E6235B"/>
    <w:rsid w:val="00E63C17"/>
    <w:rsid w:val="00E95D32"/>
    <w:rsid w:val="00EA53D0"/>
    <w:rsid w:val="00EE0C20"/>
    <w:rsid w:val="00EF2893"/>
    <w:rsid w:val="00F12604"/>
    <w:rsid w:val="00F175A1"/>
    <w:rsid w:val="00F3333E"/>
    <w:rsid w:val="00F668B9"/>
    <w:rsid w:val="00FB3540"/>
    <w:rsid w:val="00FE18E1"/>
    <w:rsid w:val="00FE7F58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94F319"/>
  <w15:docId w15:val="{BD16B6A4-B593-4B2D-A132-02FA3C32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5C1B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2354"/>
    <w:pPr>
      <w:keepNext/>
      <w:keepLines/>
      <w:pBdr>
        <w:bottom w:val="single" w:sz="4" w:space="1" w:color="595959" w:themeColor="text1" w:themeTint="A6"/>
      </w:pBdr>
      <w:spacing w:before="360"/>
      <w:jc w:val="both"/>
      <w:outlineLvl w:val="0"/>
    </w:pPr>
    <w:rPr>
      <w:rFonts w:ascii="Georgia" w:eastAsiaTheme="majorEastAsia" w:hAnsi="Georgia" w:cstheme="majorBidi"/>
      <w:bCs/>
      <w:smallCaps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autoRedefine/>
    <w:uiPriority w:val="10"/>
    <w:qFormat/>
    <w:rsid w:val="00D32354"/>
    <w:pPr>
      <w:spacing w:after="0"/>
      <w:contextualSpacing/>
      <w:jc w:val="center"/>
    </w:pPr>
    <w:rPr>
      <w:rFonts w:ascii="Palatino" w:eastAsiaTheme="majorEastAsia" w:hAnsi="Palatino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32354"/>
    <w:rPr>
      <w:rFonts w:ascii="Palatino" w:eastAsiaTheme="majorEastAsia" w:hAnsi="Palatino" w:cstheme="majorBidi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2354"/>
    <w:rPr>
      <w:rFonts w:ascii="Georgia" w:eastAsiaTheme="majorEastAsia" w:hAnsi="Georgia" w:cstheme="majorBidi"/>
      <w:bCs/>
      <w:smallCaps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0719"/>
    <w:pPr>
      <w:numPr>
        <w:ilvl w:val="1"/>
      </w:numPr>
      <w:jc w:val="center"/>
    </w:pPr>
    <w:rPr>
      <w:rFonts w:asciiTheme="majorHAnsi" w:eastAsiaTheme="minorEastAsia" w:hAnsiTheme="majorHAnsi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0719"/>
    <w:rPr>
      <w:rFonts w:asciiTheme="majorHAnsi" w:eastAsiaTheme="minorEastAsia" w:hAnsiTheme="majorHAnsi"/>
      <w:spacing w:val="15"/>
      <w:sz w:val="3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5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48"/>
    <w:rPr>
      <w:rFonts w:ascii="Lucida Grande" w:hAnsi="Lucida Grande" w:cs="Lucida Grande"/>
      <w:sz w:val="18"/>
      <w:szCs w:val="18"/>
    </w:rPr>
  </w:style>
  <w:style w:type="table" w:customStyle="1" w:styleId="GridTable6Colorful2">
    <w:name w:val="Grid Table 6 Colorful2"/>
    <w:basedOn w:val="TableNormal"/>
    <w:uiPriority w:val="51"/>
    <w:rsid w:val="00C7187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23E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68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8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8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8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8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235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35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3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ho.int/bulletin/volumes/86/2/07-040089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4vGCS9n_Pj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B6STcFfKFVU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ergizethechain.org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9824ED-ADAB-154C-AC10-4EC2B35D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 Srinivasan</dc:creator>
  <cp:lastModifiedBy>Sharada Srinivasan</cp:lastModifiedBy>
  <cp:revision>8</cp:revision>
  <cp:lastPrinted>2016-10-19T17:09:00Z</cp:lastPrinted>
  <dcterms:created xsi:type="dcterms:W3CDTF">2018-01-19T16:14:00Z</dcterms:created>
  <dcterms:modified xsi:type="dcterms:W3CDTF">2019-07-30T19:25:00Z</dcterms:modified>
</cp:coreProperties>
</file>