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3EA46" w14:textId="2FF816CF" w:rsidR="00515373" w:rsidRPr="00AD1946" w:rsidRDefault="00DB77FD" w:rsidP="00AD1946">
      <w:pPr>
        <w:pStyle w:val="Title"/>
        <w:jc w:val="center"/>
        <w:rPr>
          <w:rFonts w:ascii="Palatino Linotype" w:hAnsi="Palatino Linotype"/>
        </w:rPr>
      </w:pPr>
      <w:r w:rsidRPr="00AD1946">
        <w:rPr>
          <w:rFonts w:ascii="Palatino Linotype" w:hAnsi="Palatino Linotype"/>
        </w:rPr>
        <w:t>MALAWI TV WHITE SPACES PROJECT</w:t>
      </w:r>
    </w:p>
    <w:p w14:paraId="1283DC23" w14:textId="77777777" w:rsidR="00AD1946" w:rsidRDefault="00DA2371" w:rsidP="00AD1946">
      <w:pPr>
        <w:pStyle w:val="Title"/>
        <w:spacing w:after="120"/>
        <w:jc w:val="center"/>
        <w:rPr>
          <w:sz w:val="36"/>
          <w:szCs w:val="36"/>
        </w:rPr>
      </w:pPr>
      <w:r>
        <w:rPr>
          <w:sz w:val="36"/>
          <w:szCs w:val="36"/>
        </w:rPr>
        <w:t xml:space="preserve">LEVERAGING TV WHITE SPACES TO PROVIDE AFFORDABLE INTERNET ACCESS </w:t>
      </w:r>
    </w:p>
    <w:p w14:paraId="10261392" w14:textId="23652F41" w:rsidR="00D5095C" w:rsidRPr="00AD1946" w:rsidRDefault="00DA2371" w:rsidP="00AD1946">
      <w:pPr>
        <w:pStyle w:val="Title"/>
        <w:spacing w:after="120"/>
        <w:jc w:val="center"/>
        <w:rPr>
          <w:sz w:val="36"/>
          <w:szCs w:val="36"/>
        </w:rPr>
      </w:pPr>
      <w:r>
        <w:rPr>
          <w:sz w:val="36"/>
          <w:szCs w:val="36"/>
        </w:rPr>
        <w:t>IN MALAWI</w:t>
      </w:r>
    </w:p>
    <w:p w14:paraId="09D7C98F" w14:textId="365C2D9E" w:rsidR="00D5095C" w:rsidRDefault="00D5095C" w:rsidP="00AD1946">
      <w:pPr>
        <w:jc w:val="center"/>
        <w:rPr>
          <w:lang w:eastAsia="ja-JP"/>
        </w:rPr>
      </w:pPr>
      <w:r>
        <w:rPr>
          <w:noProof/>
          <w:sz w:val="36"/>
          <w:szCs w:val="36"/>
        </w:rPr>
        <w:drawing>
          <wp:inline distT="0" distB="0" distL="0" distR="0" wp14:anchorId="094EE8DC" wp14:editId="243C5CE3">
            <wp:extent cx="2379345" cy="4290230"/>
            <wp:effectExtent l="0" t="0" r="8255" b="2540"/>
            <wp:docPr id="1" name="Picture 1" descr="Chomora%20Mikeka-Mala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ora%20Mikeka-Malawi.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307" r="29096"/>
                    <a:stretch/>
                  </pic:blipFill>
                  <pic:spPr bwMode="auto">
                    <a:xfrm>
                      <a:off x="0" y="0"/>
                      <a:ext cx="2379345" cy="4290230"/>
                    </a:xfrm>
                    <a:prstGeom prst="rect">
                      <a:avLst/>
                    </a:prstGeom>
                    <a:noFill/>
                    <a:ln>
                      <a:noFill/>
                    </a:ln>
                    <a:extLst>
                      <a:ext uri="{53640926-AAD7-44D8-BBD7-CCE9431645EC}">
                        <a14:shadowObscured xmlns:a14="http://schemas.microsoft.com/office/drawing/2010/main"/>
                      </a:ext>
                    </a:extLst>
                  </pic:spPr>
                </pic:pic>
              </a:graphicData>
            </a:graphic>
          </wp:inline>
        </w:drawing>
      </w:r>
    </w:p>
    <w:p w14:paraId="574111B5" w14:textId="10BBCFF8" w:rsidR="00515373" w:rsidRPr="00AD1946" w:rsidRDefault="00D5095C" w:rsidP="00AD1946">
      <w:pPr>
        <w:jc w:val="center"/>
        <w:rPr>
          <w:rFonts w:ascii="Times New Roman" w:hAnsi="Times New Roman" w:cs="Times New Roman"/>
          <w:i/>
        </w:rPr>
      </w:pPr>
      <w:r w:rsidRPr="00AD1946">
        <w:rPr>
          <w:rFonts w:ascii="Times New Roman" w:hAnsi="Times New Roman" w:cs="Times New Roman"/>
          <w:i/>
          <w:lang w:eastAsia="ja-JP"/>
        </w:rPr>
        <w:t xml:space="preserve">TVWS Installation in Zomba. Picture courtesy </w:t>
      </w:r>
      <w:proofErr w:type="spellStart"/>
      <w:r w:rsidRPr="00AD1946">
        <w:rPr>
          <w:rFonts w:ascii="Times New Roman" w:hAnsi="Times New Roman" w:cs="Times New Roman"/>
          <w:i/>
          <w:lang w:eastAsia="ja-JP"/>
        </w:rPr>
        <w:t>Chomora</w:t>
      </w:r>
      <w:proofErr w:type="spellEnd"/>
      <w:r w:rsidRPr="00AD1946">
        <w:rPr>
          <w:rFonts w:ascii="Times New Roman" w:hAnsi="Times New Roman" w:cs="Times New Roman"/>
          <w:i/>
          <w:lang w:eastAsia="ja-JP"/>
        </w:rPr>
        <w:t xml:space="preserve"> </w:t>
      </w:r>
      <w:proofErr w:type="spellStart"/>
      <w:r w:rsidRPr="00AD1946">
        <w:rPr>
          <w:rFonts w:ascii="Times New Roman" w:hAnsi="Times New Roman" w:cs="Times New Roman"/>
          <w:i/>
          <w:lang w:eastAsia="ja-JP"/>
        </w:rPr>
        <w:t>Mikeka</w:t>
      </w:r>
      <w:proofErr w:type="spellEnd"/>
      <w:r w:rsidRPr="00AD1946">
        <w:rPr>
          <w:rFonts w:ascii="Times New Roman" w:hAnsi="Times New Roman" w:cs="Times New Roman"/>
          <w:i/>
          <w:lang w:eastAsia="ja-JP"/>
        </w:rPr>
        <w:t xml:space="preserve"> via IEEE Spectrum</w:t>
      </w:r>
    </w:p>
    <w:p w14:paraId="76512F5B" w14:textId="77777777" w:rsidR="00515373" w:rsidRDefault="00515373" w:rsidP="00DD365E">
      <w:pPr>
        <w:pStyle w:val="Heading1"/>
        <w:rPr>
          <w:b/>
        </w:rPr>
      </w:pPr>
      <w:r w:rsidRPr="002E3BEF">
        <w:t xml:space="preserve">Executive Summary </w:t>
      </w:r>
    </w:p>
    <w:p w14:paraId="2BD6A59B" w14:textId="76C757E7" w:rsidR="00DB77FD" w:rsidRDefault="00157E93" w:rsidP="00AD1946">
      <w:pPr>
        <w:jc w:val="both"/>
        <w:rPr>
          <w:rFonts w:ascii="Times New Roman" w:hAnsi="Times New Roman" w:cs="Times New Roman"/>
          <w:lang w:eastAsia="ja-JP"/>
        </w:rPr>
      </w:pPr>
      <w:r w:rsidRPr="00CB35B0">
        <w:rPr>
          <w:rFonts w:ascii="Times New Roman" w:hAnsi="Times New Roman" w:cs="Times New Roman"/>
          <w:lang w:eastAsia="ja-JP"/>
        </w:rPr>
        <w:t>The University of Malawi, in partnership with the Malawi Communicatio</w:t>
      </w:r>
      <w:r w:rsidR="00CB35B0" w:rsidRPr="00CB35B0">
        <w:rPr>
          <w:rFonts w:ascii="Times New Roman" w:hAnsi="Times New Roman" w:cs="Times New Roman"/>
          <w:lang w:eastAsia="ja-JP"/>
        </w:rPr>
        <w:t>ns Regulatory Authority (MACRA)</w:t>
      </w:r>
      <w:r w:rsidRPr="00CB35B0">
        <w:rPr>
          <w:rFonts w:ascii="Times New Roman" w:hAnsi="Times New Roman" w:cs="Times New Roman"/>
          <w:lang w:eastAsia="ja-JP"/>
        </w:rPr>
        <w:t xml:space="preserve"> and the International Centre for Theoreti</w:t>
      </w:r>
      <w:r w:rsidR="00CB35B0">
        <w:rPr>
          <w:rFonts w:ascii="Times New Roman" w:hAnsi="Times New Roman" w:cs="Times New Roman"/>
          <w:lang w:eastAsia="ja-JP"/>
        </w:rPr>
        <w:t>cal Physics launched a TV white spaces pilot in the university town of Zomba in southern Malawi</w:t>
      </w:r>
      <w:r w:rsidR="00DB77FD">
        <w:rPr>
          <w:rFonts w:ascii="Times New Roman" w:hAnsi="Times New Roman" w:cs="Times New Roman"/>
          <w:lang w:eastAsia="ja-JP"/>
        </w:rPr>
        <w:t xml:space="preserve"> in 2013</w:t>
      </w:r>
      <w:r w:rsidR="00CB35B0">
        <w:rPr>
          <w:rFonts w:ascii="Times New Roman" w:hAnsi="Times New Roman" w:cs="Times New Roman"/>
          <w:lang w:eastAsia="ja-JP"/>
        </w:rPr>
        <w:t xml:space="preserve">. The project </w:t>
      </w:r>
      <w:r w:rsidRPr="00CB35B0">
        <w:rPr>
          <w:rFonts w:ascii="Times New Roman" w:hAnsi="Times New Roman" w:cs="Times New Roman"/>
          <w:lang w:eastAsia="ja-JP"/>
        </w:rPr>
        <w:t xml:space="preserve">has </w:t>
      </w:r>
      <w:r w:rsidR="00CB35B0">
        <w:rPr>
          <w:rFonts w:ascii="Times New Roman" w:hAnsi="Times New Roman" w:cs="Times New Roman"/>
          <w:lang w:eastAsia="ja-JP"/>
        </w:rPr>
        <w:t xml:space="preserve">connected </w:t>
      </w:r>
      <w:r w:rsidRPr="00CB35B0">
        <w:rPr>
          <w:rFonts w:ascii="Times New Roman" w:hAnsi="Times New Roman" w:cs="Times New Roman"/>
          <w:lang w:eastAsia="ja-JP"/>
        </w:rPr>
        <w:t>diff</w:t>
      </w:r>
      <w:r w:rsidR="00CB35B0" w:rsidRPr="00CB35B0">
        <w:rPr>
          <w:rFonts w:ascii="Times New Roman" w:hAnsi="Times New Roman" w:cs="Times New Roman"/>
          <w:lang w:eastAsia="ja-JP"/>
        </w:rPr>
        <w:t>erent institutions</w:t>
      </w:r>
      <w:r w:rsidR="00CB35B0">
        <w:rPr>
          <w:rFonts w:ascii="Times New Roman" w:hAnsi="Times New Roman" w:cs="Times New Roman"/>
          <w:lang w:eastAsia="ja-JP"/>
        </w:rPr>
        <w:t xml:space="preserve"> until now,</w:t>
      </w:r>
      <w:r w:rsidR="00642661">
        <w:rPr>
          <w:rFonts w:ascii="Times New Roman" w:hAnsi="Times New Roman" w:cs="Times New Roman"/>
          <w:lang w:eastAsia="ja-JP"/>
        </w:rPr>
        <w:t xml:space="preserve"> including a </w:t>
      </w:r>
      <w:r w:rsidR="00CB35B0" w:rsidRPr="00CB35B0">
        <w:rPr>
          <w:rFonts w:ascii="Times New Roman" w:hAnsi="Times New Roman" w:cs="Times New Roman"/>
          <w:lang w:eastAsia="ja-JP"/>
        </w:rPr>
        <w:t>s</w:t>
      </w:r>
      <w:r w:rsidRPr="00CB35B0">
        <w:rPr>
          <w:rFonts w:ascii="Times New Roman" w:hAnsi="Times New Roman" w:cs="Times New Roman"/>
          <w:lang w:eastAsia="ja-JP"/>
        </w:rPr>
        <w:t>chool, a hospital, an airport and a resea</w:t>
      </w:r>
      <w:r w:rsidR="00CB35B0">
        <w:rPr>
          <w:rFonts w:ascii="Times New Roman" w:hAnsi="Times New Roman" w:cs="Times New Roman"/>
          <w:lang w:eastAsia="ja-JP"/>
        </w:rPr>
        <w:t xml:space="preserve">rch facility. </w:t>
      </w:r>
      <w:r w:rsidR="00DB77FD">
        <w:rPr>
          <w:rFonts w:ascii="Times New Roman" w:hAnsi="Times New Roman" w:cs="Times New Roman"/>
          <w:lang w:eastAsia="ja-JP"/>
        </w:rPr>
        <w:t>In 2015, the project expanded t</w:t>
      </w:r>
      <w:r w:rsidR="007446CE">
        <w:rPr>
          <w:rFonts w:ascii="Times New Roman" w:hAnsi="Times New Roman" w:cs="Times New Roman"/>
          <w:lang w:eastAsia="ja-JP"/>
        </w:rPr>
        <w:t xml:space="preserve">o connect a secondary school at Mulanje where students can now connect to the Internet via their computer lab.  </w:t>
      </w:r>
    </w:p>
    <w:p w14:paraId="588441E3" w14:textId="64E07CCD" w:rsidR="00AD1946" w:rsidRDefault="00AD1946" w:rsidP="00AD1946">
      <w:pPr>
        <w:jc w:val="both"/>
        <w:rPr>
          <w:rFonts w:ascii="Times New Roman" w:hAnsi="Times New Roman" w:cs="Times New Roman"/>
          <w:lang w:eastAsia="ja-JP"/>
        </w:rPr>
      </w:pPr>
    </w:p>
    <w:p w14:paraId="1320AE6D" w14:textId="39FF9555" w:rsidR="00AD1946" w:rsidRPr="00AD1946" w:rsidRDefault="00AD1946" w:rsidP="00AD1946">
      <w:pPr>
        <w:jc w:val="both"/>
        <w:rPr>
          <w:rFonts w:ascii="Times New Roman" w:hAnsi="Times New Roman" w:cs="Times New Roman"/>
          <w:i/>
          <w:lang w:eastAsia="ja-JP"/>
        </w:rPr>
      </w:pPr>
      <w:r w:rsidRPr="00AD1946">
        <w:rPr>
          <w:rFonts w:ascii="Times New Roman" w:hAnsi="Times New Roman" w:cs="Times New Roman"/>
          <w:i/>
          <w:lang w:eastAsia="ja-JP"/>
        </w:rPr>
        <w:t>Keywords: TVWS, rural, Malawi</w:t>
      </w:r>
    </w:p>
    <w:p w14:paraId="4EA07780" w14:textId="77777777" w:rsidR="00515373" w:rsidRPr="00515373" w:rsidRDefault="00515373" w:rsidP="00DD365E">
      <w:pPr>
        <w:pStyle w:val="Heading1"/>
        <w:rPr>
          <w:b/>
        </w:rPr>
      </w:pPr>
      <w:r w:rsidRPr="00515373">
        <w:lastRenderedPageBreak/>
        <w:t>Context</w:t>
      </w:r>
    </w:p>
    <w:p w14:paraId="4DF040ED" w14:textId="4225C341" w:rsidR="00421606" w:rsidRDefault="00DB396F" w:rsidP="00DD365E">
      <w:pPr>
        <w:pStyle w:val="p1"/>
        <w:jc w:val="both"/>
        <w:rPr>
          <w:rFonts w:ascii="Times New Roman" w:eastAsia="Times New Roman" w:hAnsi="Times New Roman"/>
          <w:color w:val="000000"/>
          <w:sz w:val="24"/>
          <w:szCs w:val="24"/>
          <w:shd w:val="clear" w:color="auto" w:fill="FFFFFF"/>
        </w:rPr>
      </w:pPr>
      <w:r w:rsidRPr="00421606">
        <w:rPr>
          <w:rFonts w:ascii="Times New Roman" w:eastAsia="Times New Roman" w:hAnsi="Times New Roman"/>
          <w:color w:val="000000"/>
          <w:sz w:val="24"/>
          <w:szCs w:val="24"/>
          <w:shd w:val="clear" w:color="auto" w:fill="FFFFFF"/>
        </w:rPr>
        <w:t>Malawi, a landlocked country with high prevalence of poverty, has very low access to the Internet. As of 2014, I</w:t>
      </w:r>
      <w:r w:rsidR="00AD1946">
        <w:rPr>
          <w:rFonts w:ascii="Times New Roman" w:eastAsia="Times New Roman" w:hAnsi="Times New Roman"/>
          <w:color w:val="000000"/>
          <w:sz w:val="24"/>
          <w:szCs w:val="24"/>
          <w:shd w:val="clear" w:color="auto" w:fill="FFFFFF"/>
        </w:rPr>
        <w:t>nternet penetration stood at 6 percent,</w:t>
      </w:r>
      <w:r w:rsidRPr="00421606">
        <w:rPr>
          <w:rFonts w:ascii="Times New Roman" w:eastAsia="Times New Roman" w:hAnsi="Times New Roman"/>
          <w:color w:val="000000"/>
          <w:sz w:val="24"/>
          <w:szCs w:val="24"/>
          <w:shd w:val="clear" w:color="auto" w:fill="FFFFFF"/>
        </w:rPr>
        <w:t xml:space="preserve"> with fixed broadband subscriptions reaching only 0.05 percent of the population in the country. </w:t>
      </w:r>
      <w:r w:rsidR="00421606" w:rsidRPr="00421606">
        <w:rPr>
          <w:rFonts w:ascii="Times New Roman" w:eastAsia="Times New Roman" w:hAnsi="Times New Roman"/>
          <w:color w:val="000000"/>
          <w:sz w:val="24"/>
          <w:szCs w:val="24"/>
          <w:shd w:val="clear" w:color="auto" w:fill="FFFFFF"/>
        </w:rPr>
        <w:t xml:space="preserve">The country’s ICT backbone has not been regionally integrated, and due to its landlocked nature, its connection to international fiber runs through Mozambique, Zambia, South Africa, and Tanzania through the SEACOM and </w:t>
      </w:r>
      <w:proofErr w:type="spellStart"/>
      <w:r w:rsidR="00421606" w:rsidRPr="00421606">
        <w:rPr>
          <w:rFonts w:ascii="Times New Roman" w:eastAsia="Times New Roman" w:hAnsi="Times New Roman"/>
          <w:color w:val="000000"/>
          <w:sz w:val="24"/>
          <w:szCs w:val="24"/>
          <w:shd w:val="clear" w:color="auto" w:fill="FFFFFF"/>
        </w:rPr>
        <w:t>EASSy</w:t>
      </w:r>
      <w:proofErr w:type="spellEnd"/>
      <w:r w:rsidR="00421606" w:rsidRPr="00421606">
        <w:rPr>
          <w:rFonts w:ascii="Times New Roman" w:eastAsia="Times New Roman" w:hAnsi="Times New Roman"/>
          <w:color w:val="000000"/>
          <w:sz w:val="24"/>
          <w:szCs w:val="24"/>
          <w:shd w:val="clear" w:color="auto" w:fill="FFFFFF"/>
        </w:rPr>
        <w:t xml:space="preserve"> networks</w:t>
      </w:r>
      <w:r w:rsidRPr="00421606">
        <w:rPr>
          <w:rFonts w:ascii="Times New Roman" w:eastAsia="Times New Roman" w:hAnsi="Times New Roman"/>
          <w:color w:val="000000"/>
          <w:sz w:val="24"/>
          <w:szCs w:val="24"/>
          <w:shd w:val="clear" w:color="auto" w:fill="FFFFFF"/>
        </w:rPr>
        <w:t>.</w:t>
      </w:r>
      <w:r w:rsidR="00421606" w:rsidRPr="00421606">
        <w:rPr>
          <w:rFonts w:ascii="Times New Roman" w:eastAsia="Times New Roman" w:hAnsi="Times New Roman"/>
          <w:color w:val="000000"/>
          <w:sz w:val="24"/>
          <w:szCs w:val="24"/>
          <w:shd w:val="clear" w:color="auto" w:fill="FFFFFF"/>
        </w:rPr>
        <w:t xml:space="preserve"> </w:t>
      </w:r>
    </w:p>
    <w:p w14:paraId="71217D19" w14:textId="182549BA" w:rsidR="00AD1946" w:rsidRDefault="00AD1946" w:rsidP="00AD1946">
      <w:pPr>
        <w:pStyle w:val="p1"/>
        <w:rPr>
          <w:rFonts w:ascii="Times New Roman" w:eastAsia="Times New Roman" w:hAnsi="Times New Roman"/>
          <w:color w:val="000000"/>
          <w:sz w:val="24"/>
          <w:szCs w:val="24"/>
          <w:shd w:val="clear" w:color="auto" w:fill="FFFFFF"/>
        </w:rPr>
      </w:pPr>
    </w:p>
    <w:tbl>
      <w:tblPr>
        <w:tblStyle w:val="TableGrid"/>
        <w:tblW w:w="9065" w:type="dxa"/>
        <w:tblLayout w:type="fixed"/>
        <w:tblCellMar>
          <w:top w:w="100" w:type="dxa"/>
          <w:left w:w="115" w:type="dxa"/>
          <w:bottom w:w="100" w:type="dxa"/>
          <w:right w:w="115" w:type="dxa"/>
        </w:tblCellMar>
        <w:tblLook w:val="04A0" w:firstRow="1" w:lastRow="0" w:firstColumn="1" w:lastColumn="0" w:noHBand="0" w:noVBand="1"/>
      </w:tblPr>
      <w:tblGrid>
        <w:gridCol w:w="2866"/>
        <w:gridCol w:w="1656"/>
        <w:gridCol w:w="2844"/>
        <w:gridCol w:w="1699"/>
      </w:tblGrid>
      <w:tr w:rsidR="00AD1946" w:rsidRPr="00AD1946" w14:paraId="59A128A1" w14:textId="77777777" w:rsidTr="009A3E7E">
        <w:trPr>
          <w:trHeight w:val="20"/>
        </w:trPr>
        <w:tc>
          <w:tcPr>
            <w:tcW w:w="9065" w:type="dxa"/>
            <w:gridSpan w:val="4"/>
            <w:vAlign w:val="center"/>
          </w:tcPr>
          <w:p w14:paraId="05F66C30" w14:textId="35636BA7" w:rsidR="00AD1946" w:rsidRPr="00AD1946" w:rsidRDefault="00AD1946" w:rsidP="009A3E7E">
            <w:pPr>
              <w:pStyle w:val="Tableheader"/>
              <w:spacing w:before="0" w:after="0"/>
              <w:rPr>
                <w:sz w:val="24"/>
                <w:szCs w:val="24"/>
              </w:rPr>
            </w:pPr>
            <w:r w:rsidRPr="00AD1946">
              <w:rPr>
                <w:sz w:val="24"/>
                <w:szCs w:val="24"/>
              </w:rPr>
              <w:t>Malawi</w:t>
            </w:r>
          </w:p>
        </w:tc>
      </w:tr>
      <w:tr w:rsidR="00AD1946" w:rsidRPr="00AD1946" w14:paraId="0F9EA9AF" w14:textId="77777777" w:rsidTr="009A3E7E">
        <w:trPr>
          <w:trHeight w:val="20"/>
        </w:trPr>
        <w:tc>
          <w:tcPr>
            <w:tcW w:w="2866" w:type="dxa"/>
            <w:vAlign w:val="center"/>
          </w:tcPr>
          <w:p w14:paraId="16A0955D" w14:textId="77777777" w:rsidR="00AD1946" w:rsidRPr="00AD1946" w:rsidRDefault="00AD1946" w:rsidP="009A3E7E">
            <w:pPr>
              <w:pStyle w:val="Tableheader"/>
              <w:spacing w:before="0" w:after="0"/>
              <w:rPr>
                <w:sz w:val="24"/>
                <w:szCs w:val="24"/>
              </w:rPr>
            </w:pPr>
            <w:r w:rsidRPr="00AD1946">
              <w:rPr>
                <w:sz w:val="24"/>
                <w:szCs w:val="24"/>
              </w:rPr>
              <w:t>Population</w:t>
            </w:r>
          </w:p>
          <w:p w14:paraId="298EC157" w14:textId="77777777" w:rsidR="00AD1946" w:rsidRPr="00AD1946" w:rsidRDefault="00AD1946" w:rsidP="009A3E7E">
            <w:pPr>
              <w:pStyle w:val="Tableheader"/>
              <w:spacing w:before="0" w:after="0"/>
              <w:rPr>
                <w:rFonts w:eastAsia="Times New Roman"/>
                <w:sz w:val="24"/>
                <w:szCs w:val="24"/>
              </w:rPr>
            </w:pPr>
            <w:r w:rsidRPr="00AD1946">
              <w:rPr>
                <w:sz w:val="24"/>
                <w:szCs w:val="24"/>
              </w:rPr>
              <w:t>(UN, 2015)</w:t>
            </w:r>
          </w:p>
        </w:tc>
        <w:tc>
          <w:tcPr>
            <w:tcW w:w="1656" w:type="dxa"/>
            <w:vAlign w:val="center"/>
          </w:tcPr>
          <w:p w14:paraId="649BF50E" w14:textId="607D46A0" w:rsidR="00AD1946" w:rsidRPr="00AD1946" w:rsidRDefault="00AD1946" w:rsidP="009A3E7E">
            <w:pPr>
              <w:pStyle w:val="StyleCentered"/>
              <w:spacing w:after="0"/>
              <w:contextualSpacing/>
              <w:rPr>
                <w:sz w:val="24"/>
                <w:szCs w:val="24"/>
              </w:rPr>
            </w:pPr>
            <w:r w:rsidRPr="00AD1946">
              <w:rPr>
                <w:sz w:val="24"/>
                <w:szCs w:val="24"/>
              </w:rPr>
              <w:t>17,308,685</w:t>
            </w:r>
          </w:p>
        </w:tc>
        <w:tc>
          <w:tcPr>
            <w:tcW w:w="2844" w:type="dxa"/>
            <w:vAlign w:val="center"/>
          </w:tcPr>
          <w:p w14:paraId="4E14FABE" w14:textId="77777777" w:rsidR="00AD1946" w:rsidRPr="00AD1946" w:rsidRDefault="00AD1946" w:rsidP="009A3E7E">
            <w:pPr>
              <w:pStyle w:val="Tableheader"/>
              <w:spacing w:before="0" w:after="0"/>
              <w:rPr>
                <w:sz w:val="24"/>
                <w:szCs w:val="24"/>
              </w:rPr>
            </w:pPr>
            <w:r w:rsidRPr="00AD1946">
              <w:rPr>
                <w:sz w:val="24"/>
                <w:szCs w:val="24"/>
              </w:rPr>
              <w:t>Fixed broadband subscriptions (%)</w:t>
            </w:r>
          </w:p>
          <w:p w14:paraId="15E43101" w14:textId="77777777" w:rsidR="00AD1946" w:rsidRPr="00AD1946" w:rsidRDefault="00AD1946" w:rsidP="009A3E7E">
            <w:pPr>
              <w:pStyle w:val="Tableheader"/>
              <w:spacing w:before="0" w:after="0"/>
              <w:rPr>
                <w:rFonts w:eastAsia="Times New Roman"/>
                <w:sz w:val="24"/>
                <w:szCs w:val="24"/>
              </w:rPr>
            </w:pPr>
            <w:r w:rsidRPr="00AD1946">
              <w:rPr>
                <w:sz w:val="24"/>
                <w:szCs w:val="24"/>
              </w:rPr>
              <w:t>(ITU, 2016)</w:t>
            </w:r>
          </w:p>
        </w:tc>
        <w:tc>
          <w:tcPr>
            <w:tcW w:w="1699" w:type="dxa"/>
            <w:vAlign w:val="center"/>
          </w:tcPr>
          <w:p w14:paraId="6E38AF01" w14:textId="5F7B6000" w:rsidR="00AD1946" w:rsidRPr="00AD1946" w:rsidRDefault="00AD1946" w:rsidP="009A3E7E">
            <w:pPr>
              <w:pStyle w:val="StyleCentered"/>
              <w:spacing w:after="0"/>
              <w:contextualSpacing/>
              <w:rPr>
                <w:sz w:val="24"/>
                <w:szCs w:val="24"/>
              </w:rPr>
            </w:pPr>
            <w:r w:rsidRPr="00AD1946">
              <w:rPr>
                <w:sz w:val="24"/>
                <w:szCs w:val="24"/>
              </w:rPr>
              <w:t>0.05</w:t>
            </w:r>
          </w:p>
        </w:tc>
      </w:tr>
      <w:tr w:rsidR="00AD1946" w:rsidRPr="00AD1946" w14:paraId="5DFA3079" w14:textId="77777777" w:rsidTr="009A3E7E">
        <w:trPr>
          <w:trHeight w:val="20"/>
        </w:trPr>
        <w:tc>
          <w:tcPr>
            <w:tcW w:w="2866" w:type="dxa"/>
            <w:vAlign w:val="center"/>
          </w:tcPr>
          <w:p w14:paraId="54E05CD7" w14:textId="77777777" w:rsidR="00AD1946" w:rsidRPr="00AD1946" w:rsidRDefault="00AD1946" w:rsidP="009A3E7E">
            <w:pPr>
              <w:pStyle w:val="Tableheader"/>
              <w:spacing w:before="0" w:after="0"/>
              <w:rPr>
                <w:sz w:val="24"/>
                <w:szCs w:val="24"/>
              </w:rPr>
            </w:pPr>
            <w:r w:rsidRPr="00AD1946">
              <w:rPr>
                <w:sz w:val="24"/>
                <w:szCs w:val="24"/>
              </w:rPr>
              <w:t>Population density</w:t>
            </w:r>
          </w:p>
          <w:p w14:paraId="3E567BC6" w14:textId="77777777" w:rsidR="00AD1946" w:rsidRPr="00AD1946" w:rsidRDefault="00AD1946" w:rsidP="009A3E7E">
            <w:pPr>
              <w:pStyle w:val="Tableheader"/>
              <w:spacing w:before="0" w:after="0"/>
              <w:rPr>
                <w:sz w:val="24"/>
                <w:szCs w:val="24"/>
              </w:rPr>
            </w:pPr>
            <w:r w:rsidRPr="00AD1946">
              <w:rPr>
                <w:sz w:val="24"/>
                <w:szCs w:val="24"/>
              </w:rPr>
              <w:t>(people per sq.km)</w:t>
            </w:r>
          </w:p>
          <w:p w14:paraId="16D72257" w14:textId="77777777" w:rsidR="00AD1946" w:rsidRPr="00AD1946" w:rsidRDefault="00AD1946" w:rsidP="009A3E7E">
            <w:pPr>
              <w:pStyle w:val="Tableheader"/>
              <w:spacing w:before="0" w:after="0"/>
              <w:rPr>
                <w:sz w:val="24"/>
                <w:szCs w:val="24"/>
              </w:rPr>
            </w:pPr>
            <w:r w:rsidRPr="00AD1946">
              <w:rPr>
                <w:sz w:val="24"/>
                <w:szCs w:val="24"/>
              </w:rPr>
              <w:t>(UN, 2015)</w:t>
            </w:r>
          </w:p>
        </w:tc>
        <w:tc>
          <w:tcPr>
            <w:tcW w:w="1656" w:type="dxa"/>
            <w:vAlign w:val="center"/>
          </w:tcPr>
          <w:p w14:paraId="564D1B0D" w14:textId="1C2F7A65" w:rsidR="00AD1946" w:rsidRPr="00AD1946" w:rsidRDefault="00AD1946" w:rsidP="009A3E7E">
            <w:pPr>
              <w:pStyle w:val="StyleCentered"/>
              <w:spacing w:after="0"/>
              <w:contextualSpacing/>
              <w:rPr>
                <w:sz w:val="24"/>
                <w:szCs w:val="24"/>
              </w:rPr>
            </w:pPr>
            <w:r w:rsidRPr="00AD1946">
              <w:rPr>
                <w:sz w:val="24"/>
                <w:szCs w:val="24"/>
              </w:rPr>
              <w:t>146.09</w:t>
            </w:r>
          </w:p>
        </w:tc>
        <w:tc>
          <w:tcPr>
            <w:tcW w:w="2844" w:type="dxa"/>
            <w:vAlign w:val="center"/>
          </w:tcPr>
          <w:p w14:paraId="6713AB72" w14:textId="77777777" w:rsidR="00AD1946" w:rsidRPr="00AD1946" w:rsidRDefault="00AD1946" w:rsidP="009A3E7E">
            <w:pPr>
              <w:pStyle w:val="Tableheader"/>
              <w:spacing w:before="0" w:after="0"/>
              <w:rPr>
                <w:sz w:val="24"/>
                <w:szCs w:val="24"/>
              </w:rPr>
            </w:pPr>
            <w:r w:rsidRPr="00AD1946">
              <w:rPr>
                <w:sz w:val="24"/>
                <w:szCs w:val="24"/>
              </w:rPr>
              <w:t>Mobile cellular subscriptions (%)</w:t>
            </w:r>
          </w:p>
          <w:p w14:paraId="78A51990" w14:textId="77777777" w:rsidR="00AD1946" w:rsidRPr="00AD1946" w:rsidRDefault="00AD1946" w:rsidP="009A3E7E">
            <w:pPr>
              <w:pStyle w:val="Tableheader"/>
              <w:spacing w:before="0" w:after="0"/>
              <w:rPr>
                <w:rFonts w:eastAsia="Times New Roman"/>
                <w:sz w:val="24"/>
                <w:szCs w:val="24"/>
              </w:rPr>
            </w:pPr>
            <w:r w:rsidRPr="00AD1946">
              <w:rPr>
                <w:sz w:val="24"/>
                <w:szCs w:val="24"/>
              </w:rPr>
              <w:t>(ITU, 2016)</w:t>
            </w:r>
          </w:p>
        </w:tc>
        <w:tc>
          <w:tcPr>
            <w:tcW w:w="1699" w:type="dxa"/>
            <w:vAlign w:val="center"/>
          </w:tcPr>
          <w:p w14:paraId="70D2B1C1" w14:textId="1CC6FEA0" w:rsidR="00AD1946" w:rsidRPr="00AD1946" w:rsidRDefault="00AD1946" w:rsidP="009A3E7E">
            <w:pPr>
              <w:pStyle w:val="StyleCentered"/>
              <w:spacing w:after="0"/>
              <w:contextualSpacing/>
              <w:rPr>
                <w:sz w:val="24"/>
                <w:szCs w:val="24"/>
              </w:rPr>
            </w:pPr>
            <w:r w:rsidRPr="00AD1946">
              <w:rPr>
                <w:sz w:val="24"/>
                <w:szCs w:val="24"/>
              </w:rPr>
              <w:t>40.32</w:t>
            </w:r>
          </w:p>
        </w:tc>
      </w:tr>
      <w:tr w:rsidR="00AD1946" w:rsidRPr="00AD1946" w14:paraId="4A81EB47" w14:textId="77777777" w:rsidTr="009A3E7E">
        <w:trPr>
          <w:trHeight w:val="20"/>
        </w:trPr>
        <w:tc>
          <w:tcPr>
            <w:tcW w:w="2866" w:type="dxa"/>
            <w:vAlign w:val="center"/>
          </w:tcPr>
          <w:p w14:paraId="6222796E" w14:textId="77777777" w:rsidR="00AD1946" w:rsidRPr="00AD1946" w:rsidRDefault="00AD1946" w:rsidP="009A3E7E">
            <w:pPr>
              <w:pStyle w:val="Tableheader"/>
              <w:spacing w:before="0" w:after="0"/>
              <w:rPr>
                <w:sz w:val="24"/>
                <w:szCs w:val="24"/>
              </w:rPr>
            </w:pPr>
            <w:r w:rsidRPr="00AD1946">
              <w:rPr>
                <w:sz w:val="24"/>
                <w:szCs w:val="24"/>
              </w:rPr>
              <w:t>Median household income</w:t>
            </w:r>
          </w:p>
          <w:p w14:paraId="5F996B3E" w14:textId="77777777" w:rsidR="00AD1946" w:rsidRPr="00AD1946" w:rsidRDefault="00AD1946" w:rsidP="009A3E7E">
            <w:pPr>
              <w:pStyle w:val="Tableheader"/>
              <w:spacing w:before="0" w:after="0"/>
              <w:rPr>
                <w:sz w:val="24"/>
                <w:szCs w:val="24"/>
              </w:rPr>
            </w:pPr>
            <w:r w:rsidRPr="00AD1946">
              <w:rPr>
                <w:sz w:val="24"/>
                <w:szCs w:val="24"/>
              </w:rPr>
              <w:t>(Gallup, 2006-2012)</w:t>
            </w:r>
          </w:p>
        </w:tc>
        <w:tc>
          <w:tcPr>
            <w:tcW w:w="1656" w:type="dxa"/>
            <w:vAlign w:val="center"/>
          </w:tcPr>
          <w:p w14:paraId="1BB41426" w14:textId="693AE166" w:rsidR="00AD1946" w:rsidRPr="00AD1946" w:rsidRDefault="00AD1946" w:rsidP="009A3E7E">
            <w:pPr>
              <w:pStyle w:val="StyleCentered"/>
              <w:spacing w:after="0"/>
              <w:contextualSpacing/>
              <w:rPr>
                <w:sz w:val="24"/>
                <w:szCs w:val="24"/>
              </w:rPr>
            </w:pPr>
            <w:r w:rsidRPr="00AD1946">
              <w:rPr>
                <w:sz w:val="24"/>
                <w:szCs w:val="24"/>
              </w:rPr>
              <w:t>N/A</w:t>
            </w:r>
          </w:p>
        </w:tc>
        <w:tc>
          <w:tcPr>
            <w:tcW w:w="2844" w:type="dxa"/>
            <w:vAlign w:val="center"/>
          </w:tcPr>
          <w:p w14:paraId="6675BB7C" w14:textId="77777777" w:rsidR="00AD1946" w:rsidRPr="00AD1946" w:rsidRDefault="00AD1946" w:rsidP="009A3E7E">
            <w:pPr>
              <w:pStyle w:val="Tableheader"/>
              <w:spacing w:before="0" w:after="0"/>
              <w:rPr>
                <w:sz w:val="24"/>
                <w:szCs w:val="24"/>
              </w:rPr>
            </w:pPr>
            <w:r w:rsidRPr="00AD1946">
              <w:rPr>
                <w:sz w:val="24"/>
                <w:szCs w:val="24"/>
              </w:rPr>
              <w:t>Individuals using the Internet (%)</w:t>
            </w:r>
          </w:p>
          <w:p w14:paraId="4DA68167" w14:textId="77777777" w:rsidR="00AD1946" w:rsidRPr="00AD1946" w:rsidRDefault="00AD1946" w:rsidP="009A3E7E">
            <w:pPr>
              <w:pStyle w:val="Tableheader"/>
              <w:spacing w:before="0" w:after="0"/>
              <w:rPr>
                <w:rFonts w:eastAsia="Times New Roman"/>
                <w:sz w:val="24"/>
                <w:szCs w:val="24"/>
              </w:rPr>
            </w:pPr>
            <w:r w:rsidRPr="00AD1946">
              <w:rPr>
                <w:sz w:val="24"/>
                <w:szCs w:val="24"/>
              </w:rPr>
              <w:t>(ITU, 2016)</w:t>
            </w:r>
          </w:p>
        </w:tc>
        <w:tc>
          <w:tcPr>
            <w:tcW w:w="1699" w:type="dxa"/>
            <w:vAlign w:val="center"/>
          </w:tcPr>
          <w:p w14:paraId="07BF21D7" w14:textId="5182DD7A" w:rsidR="00AD1946" w:rsidRPr="00AD1946" w:rsidRDefault="00AD1946" w:rsidP="009A3E7E">
            <w:pPr>
              <w:pStyle w:val="StyleCentered"/>
              <w:spacing w:after="0"/>
              <w:contextualSpacing/>
              <w:rPr>
                <w:sz w:val="24"/>
                <w:szCs w:val="24"/>
              </w:rPr>
            </w:pPr>
            <w:r w:rsidRPr="00AD1946">
              <w:rPr>
                <w:sz w:val="24"/>
                <w:szCs w:val="24"/>
              </w:rPr>
              <w:t>9.6</w:t>
            </w:r>
          </w:p>
        </w:tc>
      </w:tr>
      <w:tr w:rsidR="00AD1946" w:rsidRPr="00AD1946" w14:paraId="49B6451A" w14:textId="77777777" w:rsidTr="00C7789D">
        <w:trPr>
          <w:trHeight w:val="20"/>
        </w:trPr>
        <w:tc>
          <w:tcPr>
            <w:tcW w:w="2866" w:type="dxa"/>
            <w:vAlign w:val="center"/>
          </w:tcPr>
          <w:p w14:paraId="752BE924" w14:textId="77777777" w:rsidR="00AD1946" w:rsidRPr="00AD1946" w:rsidRDefault="00AD1946" w:rsidP="00AD1946">
            <w:pPr>
              <w:pStyle w:val="Tableheader"/>
              <w:spacing w:before="0" w:after="0"/>
              <w:rPr>
                <w:sz w:val="24"/>
                <w:szCs w:val="24"/>
              </w:rPr>
            </w:pPr>
            <w:r w:rsidRPr="00AD1946">
              <w:rPr>
                <w:sz w:val="24"/>
                <w:szCs w:val="24"/>
              </w:rPr>
              <w:t>Education</w:t>
            </w:r>
          </w:p>
          <w:p w14:paraId="309C0EED" w14:textId="77777777" w:rsidR="00AD1946" w:rsidRPr="00AD1946" w:rsidRDefault="00AD1946" w:rsidP="00AD1946">
            <w:pPr>
              <w:pStyle w:val="Tableheader"/>
              <w:spacing w:before="0" w:after="0"/>
              <w:rPr>
                <w:rFonts w:eastAsia="Times New Roman"/>
                <w:sz w:val="24"/>
                <w:szCs w:val="24"/>
              </w:rPr>
            </w:pPr>
            <w:r w:rsidRPr="00AD1946">
              <w:rPr>
                <w:sz w:val="24"/>
                <w:szCs w:val="24"/>
              </w:rPr>
              <w:t>(Mean years of schooling) (UNDP, 2013)</w:t>
            </w:r>
          </w:p>
        </w:tc>
        <w:tc>
          <w:tcPr>
            <w:tcW w:w="1656" w:type="dxa"/>
            <w:vAlign w:val="bottom"/>
          </w:tcPr>
          <w:p w14:paraId="7B6C145B" w14:textId="77777777" w:rsidR="00AD1946" w:rsidRPr="00AD1946" w:rsidRDefault="00AD1946" w:rsidP="00AD1946">
            <w:pPr>
              <w:autoSpaceDE w:val="0"/>
              <w:autoSpaceDN w:val="0"/>
              <w:adjustRightInd w:val="0"/>
              <w:spacing w:line="360" w:lineRule="atLeast"/>
              <w:jc w:val="center"/>
              <w:rPr>
                <w:rFonts w:ascii="Times New Roman" w:hAnsi="Times New Roman" w:cs="Times New Roman"/>
                <w:sz w:val="24"/>
                <w:szCs w:val="24"/>
              </w:rPr>
            </w:pPr>
            <w:r w:rsidRPr="00AD1946">
              <w:rPr>
                <w:rFonts w:ascii="Times New Roman" w:hAnsi="Times New Roman" w:cs="Times New Roman"/>
                <w:sz w:val="24"/>
                <w:szCs w:val="24"/>
              </w:rPr>
              <w:t>Male: 5.1</w:t>
            </w:r>
          </w:p>
          <w:p w14:paraId="7CB84C7E" w14:textId="7C55D87F" w:rsidR="00AD1946" w:rsidRPr="00AD1946" w:rsidRDefault="00AD1946" w:rsidP="00AD1946">
            <w:pPr>
              <w:pStyle w:val="StyleCentered"/>
              <w:spacing w:after="0"/>
              <w:contextualSpacing/>
              <w:rPr>
                <w:sz w:val="24"/>
                <w:szCs w:val="24"/>
              </w:rPr>
            </w:pPr>
            <w:r w:rsidRPr="00AD1946">
              <w:rPr>
                <w:sz w:val="24"/>
                <w:szCs w:val="24"/>
              </w:rPr>
              <w:t>Female: 3.4</w:t>
            </w:r>
          </w:p>
        </w:tc>
        <w:tc>
          <w:tcPr>
            <w:tcW w:w="2844" w:type="dxa"/>
            <w:vAlign w:val="center"/>
          </w:tcPr>
          <w:p w14:paraId="455B8578" w14:textId="77777777" w:rsidR="00AD1946" w:rsidRPr="00AD1946" w:rsidRDefault="00AD1946" w:rsidP="00AD1946">
            <w:pPr>
              <w:pStyle w:val="Tableheader"/>
              <w:spacing w:before="0" w:after="0"/>
              <w:rPr>
                <w:rFonts w:eastAsia="Times New Roman"/>
                <w:sz w:val="24"/>
                <w:szCs w:val="24"/>
              </w:rPr>
            </w:pPr>
            <w:r w:rsidRPr="00AD1946">
              <w:rPr>
                <w:sz w:val="24"/>
                <w:szCs w:val="24"/>
              </w:rPr>
              <w:t>Individuals using the Internet by Gender (%) (ITU, 2016)</w:t>
            </w:r>
          </w:p>
        </w:tc>
        <w:tc>
          <w:tcPr>
            <w:tcW w:w="1699" w:type="dxa"/>
            <w:vAlign w:val="center"/>
          </w:tcPr>
          <w:p w14:paraId="631C24A2" w14:textId="77777777" w:rsidR="00AD1946" w:rsidRPr="00AD1946" w:rsidRDefault="00AD1946" w:rsidP="00AD1946">
            <w:pPr>
              <w:pStyle w:val="StyleCentered"/>
              <w:spacing w:after="0"/>
              <w:contextualSpacing/>
              <w:rPr>
                <w:sz w:val="24"/>
                <w:szCs w:val="24"/>
              </w:rPr>
            </w:pPr>
            <w:r w:rsidRPr="00AD1946">
              <w:rPr>
                <w:sz w:val="24"/>
                <w:szCs w:val="24"/>
              </w:rPr>
              <w:t>N/A</w:t>
            </w:r>
          </w:p>
        </w:tc>
      </w:tr>
    </w:tbl>
    <w:p w14:paraId="685D0001" w14:textId="1CF3F785" w:rsidR="00515373" w:rsidRPr="00C7546A" w:rsidRDefault="00AD1946" w:rsidP="00DD365E">
      <w:pPr>
        <w:pStyle w:val="Heading1"/>
      </w:pPr>
      <w:r>
        <w:t>Project Description</w:t>
      </w:r>
    </w:p>
    <w:p w14:paraId="79745FE4" w14:textId="3A7D745F" w:rsidR="007446CE" w:rsidRDefault="00602537" w:rsidP="00AD1946">
      <w:pPr>
        <w:spacing w:after="120"/>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The Malawi TVWS project </w:t>
      </w:r>
      <w:r w:rsidR="00036B3B" w:rsidRPr="00036B3B">
        <w:rPr>
          <w:rFonts w:ascii="Times New Roman" w:eastAsia="Times New Roman" w:hAnsi="Times New Roman" w:cs="Times New Roman"/>
          <w:color w:val="333333"/>
          <w:shd w:val="clear" w:color="auto" w:fill="FFFFFF"/>
        </w:rPr>
        <w:t xml:space="preserve">has a single base station and three client stations arranged in a star topology. </w:t>
      </w:r>
      <w:r w:rsidR="008A20F0">
        <w:rPr>
          <w:rFonts w:ascii="Times New Roman" w:eastAsia="Times New Roman" w:hAnsi="Times New Roman" w:cs="Times New Roman"/>
          <w:color w:val="333333"/>
          <w:shd w:val="clear" w:color="auto" w:fill="FFFFFF"/>
        </w:rPr>
        <w:t xml:space="preserve">It has connected a school, </w:t>
      </w:r>
      <w:r w:rsidR="00762F56">
        <w:rPr>
          <w:rFonts w:ascii="Times New Roman" w:eastAsia="Times New Roman" w:hAnsi="Times New Roman" w:cs="Times New Roman"/>
          <w:color w:val="333333"/>
          <w:shd w:val="clear" w:color="auto" w:fill="FFFFFF"/>
        </w:rPr>
        <w:t xml:space="preserve">a hospital, an airport and a research facility. </w:t>
      </w:r>
      <w:r>
        <w:rPr>
          <w:rFonts w:ascii="Times New Roman" w:eastAsia="Times New Roman" w:hAnsi="Times New Roman" w:cs="Times New Roman"/>
          <w:color w:val="333333"/>
          <w:shd w:val="clear" w:color="auto" w:fill="FFFFFF"/>
        </w:rPr>
        <w:t>The 2013 pilot was a partnership between the Malawi Communications Regulatory Authority, International Center for Theoretical Physics, and the physics department of the Chancellor College at the University of Malawi. T</w:t>
      </w:r>
      <w:r w:rsidRPr="00602537">
        <w:rPr>
          <w:rFonts w:ascii="Times New Roman" w:eastAsia="Times New Roman" w:hAnsi="Times New Roman" w:cs="Times New Roman"/>
          <w:color w:val="333333"/>
          <w:shd w:val="clear" w:color="auto" w:fill="FFFFFF"/>
        </w:rPr>
        <w:t>he network included four sites,</w:t>
      </w:r>
      <w:r>
        <w:rPr>
          <w:rFonts w:ascii="Times New Roman" w:eastAsia="Times New Roman" w:hAnsi="Times New Roman" w:cs="Times New Roman"/>
          <w:color w:val="333333"/>
          <w:shd w:val="clear" w:color="auto" w:fill="FFFFFF"/>
        </w:rPr>
        <w:t xml:space="preserve"> and set the record for the longest operational TV White Spaces link, with two of those sites being 20 kilometers apart</w:t>
      </w:r>
      <w:r w:rsidRPr="00602537">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007446CE">
        <w:rPr>
          <w:rFonts w:ascii="Times New Roman" w:eastAsia="Times New Roman" w:hAnsi="Times New Roman" w:cs="Times New Roman"/>
          <w:color w:val="333333"/>
          <w:shd w:val="clear" w:color="auto" w:fill="FFFFFF"/>
        </w:rPr>
        <w:t>Low cost hardware components</w:t>
      </w:r>
      <w:r>
        <w:rPr>
          <w:rFonts w:ascii="Times New Roman" w:eastAsia="Times New Roman" w:hAnsi="Times New Roman" w:cs="Times New Roman"/>
          <w:color w:val="333333"/>
          <w:shd w:val="clear" w:color="auto" w:fill="FFFFFF"/>
        </w:rPr>
        <w:t xml:space="preserve"> as well as software for scanning the spectrum and</w:t>
      </w:r>
      <w:r w:rsidR="007446CE">
        <w:rPr>
          <w:rFonts w:ascii="Times New Roman" w:eastAsia="Times New Roman" w:hAnsi="Times New Roman" w:cs="Times New Roman"/>
          <w:color w:val="333333"/>
          <w:shd w:val="clear" w:color="auto" w:fill="FFFFFF"/>
        </w:rPr>
        <w:t xml:space="preserve"> for transmitting signals are </w:t>
      </w:r>
      <w:r>
        <w:rPr>
          <w:rFonts w:ascii="Times New Roman" w:eastAsia="Times New Roman" w:hAnsi="Times New Roman" w:cs="Times New Roman"/>
          <w:color w:val="333333"/>
          <w:shd w:val="clear" w:color="auto" w:fill="FFFFFF"/>
        </w:rPr>
        <w:t xml:space="preserve">now </w:t>
      </w:r>
      <w:r w:rsidR="007446CE">
        <w:rPr>
          <w:rFonts w:ascii="Times New Roman" w:eastAsia="Times New Roman" w:hAnsi="Times New Roman" w:cs="Times New Roman"/>
          <w:color w:val="333333"/>
          <w:shd w:val="clear" w:color="auto" w:fill="FFFFFF"/>
        </w:rPr>
        <w:t xml:space="preserve">being developed at the computer lab in the University of Malawi. Unused TV white spaces are less costly than Wi-Fi in rural areas, as for the same amount of power, a TV white space signal can cover a wider area than a high frequency Wi-Fi signal, which reduces the number of base stations and antennas needed to set up the network. </w:t>
      </w:r>
    </w:p>
    <w:p w14:paraId="1FBBBCF1" w14:textId="0754AED8" w:rsidR="00515373" w:rsidRDefault="00DB77FD" w:rsidP="00AD1946">
      <w:pPr>
        <w:spacing w:after="120"/>
        <w:jc w:val="bot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The Mulanje Secondary School, connected in 2015, has a new computer lab that enables students to access the Internet to do homework and learn from online resources.</w:t>
      </w:r>
      <w:r w:rsidR="00602537">
        <w:rPr>
          <w:rFonts w:ascii="Times New Roman" w:eastAsia="Times New Roman" w:hAnsi="Times New Roman" w:cs="Times New Roman"/>
          <w:color w:val="333333"/>
          <w:shd w:val="clear" w:color="auto" w:fill="FFFFFF"/>
        </w:rPr>
        <w:t xml:space="preserve"> </w:t>
      </w:r>
    </w:p>
    <w:p w14:paraId="7B4D01C7" w14:textId="3E3D9F2D" w:rsidR="00AD1946" w:rsidRDefault="00AD1946" w:rsidP="00AD1946">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br w:type="page"/>
      </w:r>
    </w:p>
    <w:tbl>
      <w:tblPr>
        <w:tblStyle w:val="GridTable6Colorful2"/>
        <w:tblW w:w="0" w:type="auto"/>
        <w:tblInd w:w="108" w:type="dxa"/>
        <w:tblLayout w:type="fixed"/>
        <w:tblCellMar>
          <w:top w:w="101" w:type="dxa"/>
          <w:left w:w="0" w:type="dxa"/>
          <w:bottom w:w="101" w:type="dxa"/>
          <w:right w:w="0" w:type="dxa"/>
        </w:tblCellMar>
        <w:tblLook w:val="04A0" w:firstRow="1" w:lastRow="0" w:firstColumn="1" w:lastColumn="0" w:noHBand="0" w:noVBand="1"/>
      </w:tblPr>
      <w:tblGrid>
        <w:gridCol w:w="2206"/>
        <w:gridCol w:w="2294"/>
        <w:gridCol w:w="1890"/>
        <w:gridCol w:w="2738"/>
      </w:tblGrid>
      <w:tr w:rsidR="00AD1946" w:rsidRPr="00AD1946" w14:paraId="1B809821" w14:textId="77777777" w:rsidTr="009A3E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28" w:type="dxa"/>
            <w:gridSpan w:val="4"/>
            <w:shd w:val="clear" w:color="auto" w:fill="auto"/>
            <w:vAlign w:val="center"/>
          </w:tcPr>
          <w:p w14:paraId="1BB21FF4" w14:textId="77777777" w:rsidR="00AD1946" w:rsidRPr="00AD1946" w:rsidRDefault="00AD1946" w:rsidP="00AD1946">
            <w:pPr>
              <w:jc w:val="center"/>
              <w:rPr>
                <w:rFonts w:ascii="Times New Roman" w:hAnsi="Times New Roman"/>
                <w:color w:val="000000"/>
                <w:sz w:val="24"/>
                <w:szCs w:val="24"/>
              </w:rPr>
            </w:pPr>
            <w:r w:rsidRPr="00AD1946">
              <w:rPr>
                <w:rFonts w:ascii="Times New Roman" w:hAnsi="Times New Roman"/>
                <w:color w:val="000000"/>
                <w:sz w:val="24"/>
                <w:szCs w:val="24"/>
              </w:rPr>
              <w:lastRenderedPageBreak/>
              <w:t>Project details</w:t>
            </w:r>
          </w:p>
        </w:tc>
      </w:tr>
      <w:tr w:rsidR="00AD1946" w:rsidRPr="00AD1946" w14:paraId="5DA7477C" w14:textId="77777777" w:rsidTr="009A3E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2F58DE37" w14:textId="77777777" w:rsidR="00AD1946" w:rsidRPr="00AD1946" w:rsidRDefault="00AD1946" w:rsidP="00AD1946">
            <w:pPr>
              <w:jc w:val="center"/>
              <w:rPr>
                <w:rFonts w:ascii="Times New Roman" w:hAnsi="Times New Roman"/>
                <w:color w:val="auto"/>
                <w:sz w:val="24"/>
                <w:szCs w:val="24"/>
              </w:rPr>
            </w:pPr>
            <w:r w:rsidRPr="00AD1946">
              <w:rPr>
                <w:rFonts w:ascii="Times New Roman" w:hAnsi="Times New Roman"/>
                <w:color w:val="auto"/>
                <w:sz w:val="24"/>
                <w:szCs w:val="24"/>
              </w:rPr>
              <w:t>Technology</w:t>
            </w:r>
          </w:p>
        </w:tc>
        <w:tc>
          <w:tcPr>
            <w:tcW w:w="2294" w:type="dxa"/>
            <w:shd w:val="clear" w:color="auto" w:fill="auto"/>
            <w:vAlign w:val="center"/>
          </w:tcPr>
          <w:p w14:paraId="7F51AE9B" w14:textId="77777777" w:rsidR="00AD1946" w:rsidRPr="00AD1946" w:rsidRDefault="00AD1946" w:rsidP="00AD19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AD1946">
              <w:rPr>
                <w:rFonts w:ascii="Times New Roman" w:hAnsi="Times New Roman"/>
                <w:color w:val="000000"/>
                <w:sz w:val="24"/>
                <w:szCs w:val="24"/>
              </w:rPr>
              <w:t>TV White Space</w:t>
            </w:r>
          </w:p>
        </w:tc>
        <w:tc>
          <w:tcPr>
            <w:tcW w:w="1890" w:type="dxa"/>
            <w:shd w:val="clear" w:color="auto" w:fill="auto"/>
            <w:vAlign w:val="center"/>
          </w:tcPr>
          <w:p w14:paraId="7BA46D36" w14:textId="77777777" w:rsidR="00AD1946" w:rsidRPr="00AD1946" w:rsidRDefault="00AD1946" w:rsidP="00AD19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auto"/>
                <w:sz w:val="24"/>
                <w:szCs w:val="24"/>
              </w:rPr>
            </w:pPr>
            <w:r w:rsidRPr="00AD1946">
              <w:rPr>
                <w:rFonts w:ascii="Times New Roman" w:hAnsi="Times New Roman"/>
                <w:b/>
                <w:color w:val="auto"/>
                <w:sz w:val="24"/>
                <w:szCs w:val="24"/>
              </w:rPr>
              <w:t>Training</w:t>
            </w:r>
          </w:p>
        </w:tc>
        <w:tc>
          <w:tcPr>
            <w:tcW w:w="2738" w:type="dxa"/>
            <w:shd w:val="clear" w:color="auto" w:fill="auto"/>
            <w:vAlign w:val="center"/>
          </w:tcPr>
          <w:p w14:paraId="6DFEA906" w14:textId="77777777" w:rsidR="00AD1946" w:rsidRPr="00AD1946" w:rsidRDefault="00AD1946" w:rsidP="00AD19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AD1946">
              <w:rPr>
                <w:rFonts w:ascii="Times New Roman" w:hAnsi="Times New Roman"/>
                <w:color w:val="000000"/>
                <w:sz w:val="24"/>
                <w:szCs w:val="24"/>
              </w:rPr>
              <w:t>ICT literary training in villages</w:t>
            </w:r>
          </w:p>
        </w:tc>
      </w:tr>
      <w:tr w:rsidR="00AD1946" w:rsidRPr="00AD1946" w14:paraId="399CCABF" w14:textId="77777777" w:rsidTr="009A3E7E">
        <w:trPr>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756E4712" w14:textId="77777777" w:rsidR="00AD1946" w:rsidRPr="00AD1946" w:rsidRDefault="00AD1946" w:rsidP="00AD1946">
            <w:pPr>
              <w:jc w:val="center"/>
              <w:rPr>
                <w:rFonts w:ascii="Times New Roman" w:hAnsi="Times New Roman"/>
                <w:color w:val="auto"/>
                <w:sz w:val="24"/>
                <w:szCs w:val="24"/>
              </w:rPr>
            </w:pPr>
            <w:r w:rsidRPr="00AD1946">
              <w:rPr>
                <w:rFonts w:ascii="Times New Roman" w:hAnsi="Times New Roman"/>
                <w:color w:val="auto"/>
                <w:sz w:val="24"/>
                <w:szCs w:val="24"/>
              </w:rPr>
              <w:t>Year program started</w:t>
            </w:r>
          </w:p>
        </w:tc>
        <w:tc>
          <w:tcPr>
            <w:tcW w:w="2294" w:type="dxa"/>
            <w:shd w:val="clear" w:color="auto" w:fill="auto"/>
            <w:vAlign w:val="center"/>
          </w:tcPr>
          <w:p w14:paraId="22A97461" w14:textId="5DAFB814" w:rsidR="00AD1946" w:rsidRPr="00AD1946" w:rsidRDefault="00AD1946" w:rsidP="00AD19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AD1946">
              <w:rPr>
                <w:rFonts w:ascii="Times New Roman" w:hAnsi="Times New Roman"/>
                <w:color w:val="000000"/>
                <w:sz w:val="24"/>
                <w:szCs w:val="24"/>
              </w:rPr>
              <w:t>201</w:t>
            </w:r>
            <w:r>
              <w:rPr>
                <w:rFonts w:ascii="Times New Roman" w:hAnsi="Times New Roman"/>
                <w:color w:val="000000"/>
                <w:sz w:val="24"/>
                <w:szCs w:val="24"/>
              </w:rPr>
              <w:t>3</w:t>
            </w:r>
          </w:p>
        </w:tc>
        <w:tc>
          <w:tcPr>
            <w:tcW w:w="1890" w:type="dxa"/>
            <w:shd w:val="clear" w:color="auto" w:fill="auto"/>
            <w:vAlign w:val="center"/>
          </w:tcPr>
          <w:p w14:paraId="59E26402" w14:textId="77777777" w:rsidR="00AD1946" w:rsidRPr="00AD1946" w:rsidRDefault="00AD1946" w:rsidP="00AD19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AD1946">
              <w:rPr>
                <w:rFonts w:ascii="Times New Roman" w:hAnsi="Times New Roman"/>
                <w:b/>
                <w:color w:val="000000"/>
                <w:sz w:val="24"/>
                <w:szCs w:val="24"/>
              </w:rPr>
              <w:t>Cost to users</w:t>
            </w:r>
          </w:p>
        </w:tc>
        <w:tc>
          <w:tcPr>
            <w:tcW w:w="2738" w:type="dxa"/>
            <w:shd w:val="clear" w:color="auto" w:fill="auto"/>
            <w:vAlign w:val="center"/>
          </w:tcPr>
          <w:p w14:paraId="5D239876" w14:textId="77777777" w:rsidR="00AD1946" w:rsidRPr="00AD1946" w:rsidRDefault="00AD1946" w:rsidP="00AD19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AD1946">
              <w:rPr>
                <w:rFonts w:ascii="Times New Roman" w:hAnsi="Times New Roman"/>
                <w:color w:val="auto"/>
                <w:sz w:val="24"/>
                <w:szCs w:val="24"/>
              </w:rPr>
              <w:t>Free</w:t>
            </w:r>
          </w:p>
        </w:tc>
      </w:tr>
      <w:tr w:rsidR="00AD1946" w:rsidRPr="00AD1946" w14:paraId="268C4E1C" w14:textId="77777777" w:rsidTr="009A3E7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4F1AE018" w14:textId="77777777" w:rsidR="00AD1946" w:rsidRPr="00AD1946" w:rsidRDefault="00AD1946" w:rsidP="00AD1946">
            <w:pPr>
              <w:jc w:val="center"/>
              <w:rPr>
                <w:rFonts w:ascii="Times New Roman" w:hAnsi="Times New Roman"/>
                <w:color w:val="000000"/>
                <w:sz w:val="24"/>
                <w:szCs w:val="24"/>
              </w:rPr>
            </w:pPr>
            <w:r w:rsidRPr="00AD1946">
              <w:rPr>
                <w:rFonts w:ascii="Times New Roman" w:hAnsi="Times New Roman"/>
                <w:color w:val="000000"/>
                <w:sz w:val="24"/>
                <w:szCs w:val="24"/>
              </w:rPr>
              <w:t>Geography</w:t>
            </w:r>
          </w:p>
        </w:tc>
        <w:tc>
          <w:tcPr>
            <w:tcW w:w="2294" w:type="dxa"/>
            <w:shd w:val="clear" w:color="auto" w:fill="auto"/>
            <w:vAlign w:val="center"/>
          </w:tcPr>
          <w:p w14:paraId="5513E956" w14:textId="1E964EAB" w:rsidR="00AD1946" w:rsidRPr="00AD1946" w:rsidRDefault="00AD1946" w:rsidP="00AD19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Rural</w:t>
            </w:r>
          </w:p>
        </w:tc>
        <w:tc>
          <w:tcPr>
            <w:tcW w:w="1890" w:type="dxa"/>
            <w:shd w:val="clear" w:color="auto" w:fill="auto"/>
            <w:vAlign w:val="center"/>
          </w:tcPr>
          <w:p w14:paraId="77EB624E" w14:textId="77777777" w:rsidR="00AD1946" w:rsidRPr="00AD1946" w:rsidRDefault="00AD1946" w:rsidP="00AD19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sz w:val="24"/>
                <w:szCs w:val="24"/>
              </w:rPr>
            </w:pPr>
            <w:r w:rsidRPr="00AD1946">
              <w:rPr>
                <w:rFonts w:ascii="Times New Roman" w:hAnsi="Times New Roman"/>
                <w:b/>
                <w:color w:val="auto"/>
                <w:sz w:val="24"/>
                <w:szCs w:val="24"/>
              </w:rPr>
              <w:t>Total cost of program</w:t>
            </w:r>
          </w:p>
        </w:tc>
        <w:tc>
          <w:tcPr>
            <w:tcW w:w="2738" w:type="dxa"/>
            <w:shd w:val="clear" w:color="auto" w:fill="auto"/>
            <w:vAlign w:val="center"/>
          </w:tcPr>
          <w:p w14:paraId="1C2730EA" w14:textId="5574D654" w:rsidR="00AD1946" w:rsidRPr="00AD1946" w:rsidRDefault="00AD1946" w:rsidP="00AD19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Not disclosed</w:t>
            </w:r>
          </w:p>
        </w:tc>
      </w:tr>
      <w:tr w:rsidR="00AD1946" w:rsidRPr="00AD1946" w14:paraId="4FABC653" w14:textId="77777777" w:rsidTr="009A3E7E">
        <w:trPr>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6F9D5E7D" w14:textId="77777777" w:rsidR="00AD1946" w:rsidRPr="00AD1946" w:rsidRDefault="00AD1946" w:rsidP="00AD1946">
            <w:pPr>
              <w:jc w:val="center"/>
              <w:rPr>
                <w:rFonts w:ascii="Times New Roman" w:hAnsi="Times New Roman"/>
                <w:color w:val="000000"/>
                <w:sz w:val="24"/>
                <w:szCs w:val="24"/>
              </w:rPr>
            </w:pPr>
            <w:r w:rsidRPr="00AD1946">
              <w:rPr>
                <w:rFonts w:ascii="Times New Roman" w:hAnsi="Times New Roman"/>
                <w:color w:val="auto"/>
                <w:sz w:val="24"/>
                <w:szCs w:val="24"/>
              </w:rPr>
              <w:t>User profile</w:t>
            </w:r>
          </w:p>
        </w:tc>
        <w:tc>
          <w:tcPr>
            <w:tcW w:w="2294" w:type="dxa"/>
            <w:shd w:val="clear" w:color="auto" w:fill="auto"/>
            <w:vAlign w:val="center"/>
          </w:tcPr>
          <w:p w14:paraId="033EC4D8" w14:textId="3EB0F70C" w:rsidR="00AD1946" w:rsidRPr="00AD1946" w:rsidRDefault="00AD1946" w:rsidP="00AD19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AD1946">
              <w:rPr>
                <w:rFonts w:ascii="Times New Roman" w:hAnsi="Times New Roman"/>
                <w:color w:val="000000"/>
                <w:sz w:val="24"/>
                <w:szCs w:val="24"/>
              </w:rPr>
              <w:t xml:space="preserve">Students </w:t>
            </w:r>
            <w:r>
              <w:rPr>
                <w:rFonts w:ascii="Times New Roman" w:hAnsi="Times New Roman"/>
                <w:color w:val="000000"/>
                <w:sz w:val="24"/>
                <w:szCs w:val="24"/>
              </w:rPr>
              <w:t>in primary school</w:t>
            </w:r>
          </w:p>
        </w:tc>
        <w:tc>
          <w:tcPr>
            <w:tcW w:w="1890" w:type="dxa"/>
            <w:shd w:val="clear" w:color="auto" w:fill="auto"/>
            <w:vAlign w:val="center"/>
          </w:tcPr>
          <w:p w14:paraId="1A124772" w14:textId="77777777" w:rsidR="00AD1946" w:rsidRPr="00AD1946" w:rsidRDefault="00AD1946" w:rsidP="00AD19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auto"/>
                <w:sz w:val="24"/>
                <w:szCs w:val="24"/>
              </w:rPr>
            </w:pPr>
            <w:r w:rsidRPr="00AD1946">
              <w:rPr>
                <w:rFonts w:ascii="Times New Roman" w:hAnsi="Times New Roman"/>
                <w:b/>
                <w:color w:val="auto"/>
                <w:sz w:val="24"/>
                <w:szCs w:val="24"/>
              </w:rPr>
              <w:t>Associated organizations</w:t>
            </w:r>
          </w:p>
        </w:tc>
        <w:tc>
          <w:tcPr>
            <w:tcW w:w="2738" w:type="dxa"/>
            <w:shd w:val="clear" w:color="auto" w:fill="auto"/>
            <w:vAlign w:val="center"/>
          </w:tcPr>
          <w:p w14:paraId="4A4BA400" w14:textId="77777777" w:rsidR="00AD1946" w:rsidRPr="00AD1946" w:rsidRDefault="00AD1946" w:rsidP="00AD19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roofErr w:type="spellStart"/>
            <w:r w:rsidRPr="00AD1946">
              <w:rPr>
                <w:rFonts w:ascii="Times New Roman" w:hAnsi="Times New Roman"/>
                <w:color w:val="000000"/>
                <w:sz w:val="24"/>
                <w:szCs w:val="24"/>
              </w:rPr>
              <w:t>Adaptrum</w:t>
            </w:r>
            <w:proofErr w:type="spellEnd"/>
            <w:r w:rsidRPr="00AD1946">
              <w:rPr>
                <w:rFonts w:ascii="Times New Roman" w:hAnsi="Times New Roman"/>
                <w:color w:val="000000"/>
                <w:sz w:val="24"/>
                <w:szCs w:val="24"/>
              </w:rPr>
              <w:t>,</w:t>
            </w:r>
          </w:p>
          <w:p w14:paraId="04A1D66D" w14:textId="0050CBAE" w:rsidR="00AD1946" w:rsidRPr="00AD1946" w:rsidRDefault="00AD1946" w:rsidP="00AD19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AD1946">
              <w:rPr>
                <w:rFonts w:ascii="Times New Roman" w:hAnsi="Times New Roman"/>
                <w:color w:val="000000"/>
                <w:sz w:val="24"/>
                <w:szCs w:val="24"/>
              </w:rPr>
              <w:t>Microsoft,</w:t>
            </w:r>
          </w:p>
        </w:tc>
      </w:tr>
    </w:tbl>
    <w:p w14:paraId="004C1DEE" w14:textId="5D1052DE" w:rsidR="00515373" w:rsidRPr="00C7546A" w:rsidRDefault="00AD1946" w:rsidP="00DD365E">
      <w:pPr>
        <w:pStyle w:val="Heading1"/>
      </w:pPr>
      <w:r>
        <w:t>Progress and Results</w:t>
      </w:r>
    </w:p>
    <w:p w14:paraId="3A6E6B77" w14:textId="5987F4E0" w:rsidR="00AD1946" w:rsidRDefault="00602537" w:rsidP="00AD1946">
      <w:pPr>
        <w:jc w:val="both"/>
        <w:textAlignment w:val="baseline"/>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The project has already benefited </w:t>
      </w:r>
      <w:r w:rsidR="00FD3E5E">
        <w:rPr>
          <w:rFonts w:ascii="Times New Roman" w:eastAsia="Times New Roman" w:hAnsi="Times New Roman" w:cs="Times New Roman"/>
          <w:color w:val="333333"/>
          <w:shd w:val="clear" w:color="auto" w:fill="FFFFFF"/>
        </w:rPr>
        <w:t>several</w:t>
      </w:r>
      <w:r>
        <w:rPr>
          <w:rFonts w:ascii="Times New Roman" w:eastAsia="Times New Roman" w:hAnsi="Times New Roman" w:cs="Times New Roman"/>
          <w:color w:val="333333"/>
          <w:shd w:val="clear" w:color="auto" w:fill="FFFFFF"/>
        </w:rPr>
        <w:t xml:space="preserve"> stakeholders in Malawi. </w:t>
      </w:r>
      <w:r w:rsidR="00FD3E5E">
        <w:rPr>
          <w:rFonts w:ascii="Times New Roman" w:eastAsia="Times New Roman" w:hAnsi="Times New Roman" w:cs="Times New Roman"/>
          <w:color w:val="333333"/>
          <w:shd w:val="clear" w:color="auto" w:fill="FFFFFF"/>
        </w:rPr>
        <w:t xml:space="preserve">Researchers at the </w:t>
      </w:r>
      <w:proofErr w:type="spellStart"/>
      <w:r w:rsidR="00FD3E5E">
        <w:rPr>
          <w:rFonts w:ascii="Times New Roman" w:eastAsia="Times New Roman" w:hAnsi="Times New Roman" w:cs="Times New Roman"/>
          <w:color w:val="333333"/>
          <w:shd w:val="clear" w:color="auto" w:fill="FFFFFF"/>
        </w:rPr>
        <w:t>Pirimiti</w:t>
      </w:r>
      <w:proofErr w:type="spellEnd"/>
      <w:r w:rsidR="00FD3E5E">
        <w:rPr>
          <w:rFonts w:ascii="Times New Roman" w:eastAsia="Times New Roman" w:hAnsi="Times New Roman" w:cs="Times New Roman"/>
          <w:color w:val="333333"/>
          <w:shd w:val="clear" w:color="auto" w:fill="FFFFFF"/>
        </w:rPr>
        <w:t xml:space="preserve"> Community Hospital are now able to </w:t>
      </w:r>
      <w:r w:rsidR="00642661">
        <w:rPr>
          <w:rFonts w:ascii="Times New Roman" w:eastAsia="Times New Roman" w:hAnsi="Times New Roman" w:cs="Times New Roman"/>
          <w:color w:val="333333"/>
          <w:shd w:val="clear" w:color="auto" w:fill="FFFFFF"/>
        </w:rPr>
        <w:t>upload real-time X-ray images</w:t>
      </w:r>
      <w:r w:rsidR="00FD3E5E">
        <w:rPr>
          <w:rFonts w:ascii="Times New Roman" w:eastAsia="Times New Roman" w:hAnsi="Times New Roman" w:cs="Times New Roman"/>
          <w:color w:val="333333"/>
          <w:shd w:val="clear" w:color="auto" w:fill="FFFFFF"/>
        </w:rPr>
        <w:t xml:space="preserve"> and access online resources</w:t>
      </w:r>
      <w:r w:rsidR="00642661">
        <w:rPr>
          <w:rFonts w:ascii="Times New Roman" w:eastAsia="Times New Roman" w:hAnsi="Times New Roman" w:cs="Times New Roman"/>
          <w:color w:val="333333"/>
          <w:shd w:val="clear" w:color="auto" w:fill="FFFFFF"/>
        </w:rPr>
        <w:t xml:space="preserve">. </w:t>
      </w:r>
      <w:r w:rsidR="00FD3E5E">
        <w:rPr>
          <w:rFonts w:ascii="Times New Roman" w:eastAsia="Times New Roman" w:hAnsi="Times New Roman" w:cs="Times New Roman"/>
          <w:color w:val="333333"/>
          <w:shd w:val="clear" w:color="auto" w:fill="FFFFFF"/>
        </w:rPr>
        <w:t xml:space="preserve">Remote specialists are now able to use the link to advise local staff based on this data, improving patient outcomes. Further, geological data in real time is being transmitted to seismologists through the link, which </w:t>
      </w:r>
      <w:r w:rsidR="00642661">
        <w:rPr>
          <w:rFonts w:ascii="Times New Roman" w:eastAsia="Times New Roman" w:hAnsi="Times New Roman" w:cs="Times New Roman"/>
          <w:color w:val="333333"/>
          <w:shd w:val="clear" w:color="auto" w:fill="FFFFFF"/>
        </w:rPr>
        <w:t xml:space="preserve">has </w:t>
      </w:r>
      <w:r w:rsidR="00FD3E5E">
        <w:rPr>
          <w:rFonts w:ascii="Times New Roman" w:eastAsia="Times New Roman" w:hAnsi="Times New Roman" w:cs="Times New Roman"/>
          <w:color w:val="333333"/>
          <w:shd w:val="clear" w:color="auto" w:fill="FFFFFF"/>
        </w:rPr>
        <w:t xml:space="preserve">improved Malawi’s </w:t>
      </w:r>
      <w:r w:rsidR="00642661">
        <w:rPr>
          <w:rFonts w:ascii="Times New Roman" w:eastAsia="Times New Roman" w:hAnsi="Times New Roman" w:cs="Times New Roman"/>
          <w:color w:val="333333"/>
          <w:shd w:val="clear" w:color="auto" w:fill="FFFFFF"/>
        </w:rPr>
        <w:t xml:space="preserve">disaster response. </w:t>
      </w:r>
      <w:r w:rsidR="00FD3E5E">
        <w:rPr>
          <w:rFonts w:ascii="Times New Roman" w:eastAsia="Times New Roman" w:hAnsi="Times New Roman" w:cs="Times New Roman"/>
          <w:color w:val="333333"/>
          <w:shd w:val="clear" w:color="auto" w:fill="FFFFFF"/>
        </w:rPr>
        <w:t>Students at the local school can now stream educational videos and use services such as Skype for communication.</w:t>
      </w:r>
      <w:r w:rsidR="00B65CEF">
        <w:rPr>
          <w:rFonts w:ascii="Times New Roman" w:eastAsia="Times New Roman" w:hAnsi="Times New Roman" w:cs="Times New Roman"/>
          <w:color w:val="333333"/>
          <w:shd w:val="clear" w:color="auto" w:fill="FFFFFF"/>
        </w:rPr>
        <w:t xml:space="preserve"> The success of these stories has led to consultations on regulations of TV White Spaces.</w:t>
      </w:r>
    </w:p>
    <w:p w14:paraId="1C53D636" w14:textId="77777777" w:rsidR="00AD1946" w:rsidRPr="00C7546A" w:rsidRDefault="00AD1946" w:rsidP="00DD365E">
      <w:pPr>
        <w:pStyle w:val="Heading1"/>
        <w:rPr>
          <w:b/>
        </w:rPr>
      </w:pPr>
      <w:r w:rsidRPr="00C7546A">
        <w:t>Challenges</w:t>
      </w:r>
    </w:p>
    <w:p w14:paraId="574D9FB8" w14:textId="217D8647" w:rsidR="00AD1946" w:rsidRPr="0024708A" w:rsidRDefault="00AD1946" w:rsidP="00DD365E">
      <w:pPr>
        <w:pStyle w:val="p1"/>
        <w:spacing w:after="120"/>
        <w:jc w:val="both"/>
        <w:rPr>
          <w:rStyle w:val="apple-converted-space"/>
          <w:rFonts w:ascii="Times New Roman" w:eastAsia="Times New Roman" w:hAnsi="Times New Roman"/>
          <w:b/>
          <w:color w:val="000000"/>
          <w:sz w:val="24"/>
          <w:szCs w:val="24"/>
          <w:shd w:val="clear" w:color="auto" w:fill="FFFFFF"/>
        </w:rPr>
      </w:pPr>
      <w:r w:rsidRPr="00C2583D">
        <w:rPr>
          <w:rFonts w:ascii="Times New Roman" w:eastAsia="Times New Roman" w:hAnsi="Times New Roman"/>
          <w:b/>
          <w:color w:val="000000"/>
          <w:sz w:val="24"/>
          <w:szCs w:val="24"/>
          <w:shd w:val="clear" w:color="auto" w:fill="FFFFFF"/>
        </w:rPr>
        <w:t xml:space="preserve">Lack of </w:t>
      </w:r>
      <w:r w:rsidR="0024708A">
        <w:rPr>
          <w:rFonts w:ascii="Times New Roman" w:eastAsia="Times New Roman" w:hAnsi="Times New Roman"/>
          <w:b/>
          <w:color w:val="000000"/>
          <w:sz w:val="24"/>
          <w:szCs w:val="24"/>
          <w:shd w:val="clear" w:color="auto" w:fill="FFFFFF"/>
        </w:rPr>
        <w:t xml:space="preserve">affordable access – </w:t>
      </w:r>
      <w:r w:rsidRPr="00C2583D">
        <w:rPr>
          <w:rStyle w:val="s1"/>
          <w:rFonts w:ascii="Times New Roman" w:hAnsi="Times New Roman"/>
          <w:sz w:val="24"/>
          <w:szCs w:val="24"/>
        </w:rPr>
        <w:t>In Malawi, mobile broadband costs more than US$ 14 per 4 GB of data per month, which makes Internet access out of the reach of most Malawians, as it is nearly 50 percent of the average per capita income</w:t>
      </w:r>
      <w:r>
        <w:rPr>
          <w:rStyle w:val="s1"/>
          <w:rFonts w:ascii="Times New Roman" w:hAnsi="Times New Roman"/>
          <w:sz w:val="24"/>
          <w:szCs w:val="24"/>
        </w:rPr>
        <w:t xml:space="preserve">, much higher than the 5 percent benchmark set by the ITU. </w:t>
      </w:r>
    </w:p>
    <w:p w14:paraId="57F54855" w14:textId="7FDD68A8" w:rsidR="00AD1946" w:rsidRPr="0024708A" w:rsidRDefault="0024708A" w:rsidP="00DD365E">
      <w:pPr>
        <w:pStyle w:val="p1"/>
        <w:spacing w:after="120"/>
        <w:jc w:val="both"/>
        <w:rPr>
          <w:rFonts w:ascii="Times New Roman" w:hAnsi="Times New Roman"/>
          <w:b/>
          <w:sz w:val="24"/>
          <w:szCs w:val="24"/>
        </w:rPr>
      </w:pPr>
      <w:r>
        <w:rPr>
          <w:rStyle w:val="apple-converted-space"/>
          <w:rFonts w:ascii="Times New Roman" w:hAnsi="Times New Roman"/>
          <w:b/>
          <w:sz w:val="24"/>
          <w:szCs w:val="24"/>
        </w:rPr>
        <w:t xml:space="preserve">Limited and irregular electricity access – </w:t>
      </w:r>
      <w:r w:rsidR="00AD1946" w:rsidRPr="00C2583D">
        <w:rPr>
          <w:rStyle w:val="apple-converted-space"/>
          <w:rFonts w:ascii="Times New Roman" w:hAnsi="Times New Roman"/>
          <w:sz w:val="24"/>
          <w:szCs w:val="24"/>
        </w:rPr>
        <w:t>Less than 9 percent of the country has access to electricity</w:t>
      </w:r>
      <w:r w:rsidR="00AD1946">
        <w:rPr>
          <w:rStyle w:val="apple-converted-space"/>
          <w:rFonts w:ascii="Times New Roman" w:hAnsi="Times New Roman"/>
          <w:sz w:val="24"/>
          <w:szCs w:val="24"/>
        </w:rPr>
        <w:t xml:space="preserve">, with the grid concentrated in urban centers and only reaching </w:t>
      </w:r>
      <w:r w:rsidR="00AD1946" w:rsidRPr="00C2583D">
        <w:rPr>
          <w:rStyle w:val="apple-converted-space"/>
          <w:rFonts w:ascii="Times New Roman" w:hAnsi="Times New Roman"/>
          <w:sz w:val="24"/>
          <w:szCs w:val="24"/>
        </w:rPr>
        <w:t>a mere 1 percent of rural households.</w:t>
      </w:r>
    </w:p>
    <w:p w14:paraId="77E4D3B2" w14:textId="19C9D063" w:rsidR="00AD1946" w:rsidRPr="0024708A" w:rsidRDefault="00AD1946" w:rsidP="00DD365E">
      <w:pPr>
        <w:spacing w:after="120"/>
        <w:jc w:val="both"/>
        <w:rPr>
          <w:rFonts w:ascii="Times New Roman" w:eastAsia="Times New Roman" w:hAnsi="Times New Roman" w:cs="Times New Roman"/>
          <w:b/>
          <w:color w:val="000000"/>
          <w:shd w:val="clear" w:color="auto" w:fill="FFFFFF"/>
        </w:rPr>
      </w:pPr>
      <w:r w:rsidRPr="00C2583D">
        <w:rPr>
          <w:rFonts w:ascii="Times New Roman" w:eastAsia="Times New Roman" w:hAnsi="Times New Roman" w:cs="Times New Roman"/>
          <w:b/>
          <w:color w:val="000000"/>
          <w:shd w:val="clear" w:color="auto" w:fill="FFFFFF"/>
        </w:rPr>
        <w:t>Low levels of</w:t>
      </w:r>
      <w:r w:rsidR="0024708A">
        <w:rPr>
          <w:rFonts w:ascii="Times New Roman" w:eastAsia="Times New Roman" w:hAnsi="Times New Roman" w:cs="Times New Roman"/>
          <w:b/>
          <w:color w:val="000000"/>
          <w:shd w:val="clear" w:color="auto" w:fill="FFFFFF"/>
        </w:rPr>
        <w:t xml:space="preserve"> traditional</w:t>
      </w:r>
      <w:r w:rsidRPr="00C2583D">
        <w:rPr>
          <w:rFonts w:ascii="Times New Roman" w:eastAsia="Times New Roman" w:hAnsi="Times New Roman" w:cs="Times New Roman"/>
          <w:b/>
          <w:color w:val="000000"/>
          <w:shd w:val="clear" w:color="auto" w:fill="FFFFFF"/>
        </w:rPr>
        <w:t xml:space="preserve"> literac</w:t>
      </w:r>
      <w:r w:rsidR="0024708A">
        <w:rPr>
          <w:rFonts w:ascii="Times New Roman" w:eastAsia="Times New Roman" w:hAnsi="Times New Roman" w:cs="Times New Roman"/>
          <w:b/>
          <w:color w:val="000000"/>
          <w:shd w:val="clear" w:color="auto" w:fill="FFFFFF"/>
        </w:rPr>
        <w:t>y –</w:t>
      </w:r>
      <w:bookmarkStart w:id="0" w:name="_GoBack"/>
      <w:bookmarkEnd w:id="0"/>
      <w:r w:rsidRPr="00C2583D">
        <w:rPr>
          <w:rFonts w:ascii="Times New Roman" w:eastAsia="Times New Roman" w:hAnsi="Times New Roman" w:cs="Times New Roman"/>
          <w:b/>
          <w:color w:val="000000"/>
          <w:shd w:val="clear" w:color="auto" w:fill="FFFFFF"/>
        </w:rPr>
        <w:t xml:space="preserve"> </w:t>
      </w:r>
      <w:r w:rsidRPr="00C2583D">
        <w:rPr>
          <w:rFonts w:ascii="Times New Roman" w:eastAsia="Times New Roman" w:hAnsi="Times New Roman" w:cs="Times New Roman"/>
          <w:color w:val="000000"/>
          <w:shd w:val="clear" w:color="auto" w:fill="FFFFFF"/>
        </w:rPr>
        <w:t>A low literacy rate of 64 percent and a significant digital gender divide also hinders access to ICTs in Malawi</w:t>
      </w:r>
      <w:r>
        <w:rPr>
          <w:rFonts w:ascii="Times New Roman" w:eastAsia="Times New Roman" w:hAnsi="Times New Roman" w:cs="Times New Roman"/>
          <w:color w:val="000000"/>
          <w:shd w:val="clear" w:color="auto" w:fill="FFFFFF"/>
        </w:rPr>
        <w:t>.</w:t>
      </w:r>
    </w:p>
    <w:p w14:paraId="397AC88C" w14:textId="0A82B330" w:rsidR="00515373" w:rsidRPr="00DD365E" w:rsidRDefault="00AD1946" w:rsidP="00DD365E">
      <w:pPr>
        <w:pStyle w:val="Heading1"/>
      </w:pPr>
      <w:r w:rsidRPr="00DD365E">
        <w:t>Malawi TVWS Project’s Suggestions for Future Projects</w:t>
      </w:r>
    </w:p>
    <w:p w14:paraId="2B6AFCCD" w14:textId="4D345FA2" w:rsidR="00FD3E5E" w:rsidRDefault="00AD1946" w:rsidP="00AD1946">
      <w:pPr>
        <w:jc w:val="both"/>
        <w:rPr>
          <w:rFonts w:ascii="Times New Roman" w:hAnsi="Times New Roman" w:cs="Times New Roman"/>
        </w:rPr>
      </w:pPr>
      <w:r w:rsidRPr="00AD1946">
        <w:rPr>
          <w:rFonts w:ascii="Times New Roman" w:hAnsi="Times New Roman" w:cs="Times New Roman"/>
          <w:b/>
        </w:rPr>
        <w:t>Successful TVWS deployments by leveraging the right partnerships can lead to policy and regulatory attention</w:t>
      </w:r>
      <w:r>
        <w:rPr>
          <w:rFonts w:ascii="Times New Roman" w:hAnsi="Times New Roman" w:cs="Times New Roman"/>
        </w:rPr>
        <w:t xml:space="preserve"> -- </w:t>
      </w:r>
      <w:r w:rsidR="00FD3E5E">
        <w:rPr>
          <w:rFonts w:ascii="Times New Roman" w:hAnsi="Times New Roman" w:cs="Times New Roman"/>
        </w:rPr>
        <w:t>Using TV White Spaces shows promise as a low-cost alternative to provide the benefits of connectivity in areas where a fiber backbone is too expensive to deploy.</w:t>
      </w:r>
      <w:r>
        <w:rPr>
          <w:rFonts w:ascii="Times New Roman" w:hAnsi="Times New Roman" w:cs="Times New Roman"/>
        </w:rPr>
        <w:t xml:space="preserve"> The Malawi telecommunications regulator took note of the </w:t>
      </w:r>
      <w:proofErr w:type="gramStart"/>
      <w:r>
        <w:rPr>
          <w:rFonts w:ascii="Times New Roman" w:hAnsi="Times New Roman" w:cs="Times New Roman"/>
        </w:rPr>
        <w:t>trial, and</w:t>
      </w:r>
      <w:proofErr w:type="gramEnd"/>
      <w:r>
        <w:rPr>
          <w:rFonts w:ascii="Times New Roman" w:hAnsi="Times New Roman" w:cs="Times New Roman"/>
        </w:rPr>
        <w:t xml:space="preserve"> proceeded to </w:t>
      </w:r>
      <w:r w:rsidR="00DD365E">
        <w:rPr>
          <w:rFonts w:ascii="Times New Roman" w:hAnsi="Times New Roman" w:cs="Times New Roman"/>
        </w:rPr>
        <w:t xml:space="preserve">create a regulatory framework for TVWS use in the country. </w:t>
      </w:r>
    </w:p>
    <w:p w14:paraId="6D45B7C5" w14:textId="26A7EC51" w:rsidR="00DD365E" w:rsidRDefault="00DD365E" w:rsidP="00AD1946">
      <w:pPr>
        <w:jc w:val="both"/>
        <w:rPr>
          <w:rFonts w:ascii="Times New Roman" w:hAnsi="Times New Roman" w:cs="Times New Roman"/>
        </w:rPr>
      </w:pPr>
    </w:p>
    <w:p w14:paraId="13219AB2" w14:textId="566B6662" w:rsidR="00DD365E" w:rsidRDefault="00DD365E" w:rsidP="00DD365E">
      <w:pPr>
        <w:pStyle w:val="Heading1"/>
      </w:pPr>
      <w:r>
        <w:lastRenderedPageBreak/>
        <w:t>Sources</w:t>
      </w:r>
    </w:p>
    <w:p w14:paraId="714398DD" w14:textId="289EEF85" w:rsidR="00DD365E" w:rsidRPr="00DD365E" w:rsidRDefault="00DD365E" w:rsidP="00DD365E">
      <w:pPr>
        <w:rPr>
          <w:rFonts w:ascii="Times New Roman" w:hAnsi="Times New Roman" w:cs="Times New Roman"/>
          <w:lang w:eastAsia="ja-JP"/>
        </w:rPr>
      </w:pPr>
      <w:proofErr w:type="spellStart"/>
      <w:r w:rsidRPr="00DD365E">
        <w:rPr>
          <w:rFonts w:ascii="Times New Roman" w:hAnsi="Times New Roman" w:cs="Times New Roman"/>
          <w:lang w:eastAsia="ja-JP"/>
        </w:rPr>
        <w:t>Mikeka</w:t>
      </w:r>
      <w:proofErr w:type="spellEnd"/>
      <w:r w:rsidRPr="00DD365E">
        <w:rPr>
          <w:rFonts w:ascii="Times New Roman" w:hAnsi="Times New Roman" w:cs="Times New Roman"/>
          <w:lang w:eastAsia="ja-JP"/>
        </w:rPr>
        <w:t>, C. (2016, October 19) Personal Interview</w:t>
      </w:r>
    </w:p>
    <w:p w14:paraId="745789D8" w14:textId="77777777" w:rsidR="00DD365E" w:rsidRPr="00DD365E" w:rsidRDefault="00DD365E" w:rsidP="00DD365E">
      <w:pPr>
        <w:rPr>
          <w:lang w:eastAsia="ja-JP"/>
        </w:rPr>
      </w:pPr>
    </w:p>
    <w:sectPr w:rsidR="00DD365E" w:rsidRPr="00DD365E" w:rsidSect="007230D2">
      <w:footerReference w:type="even" r:id="rId9"/>
      <w:footerReference w:type="default" r:id="rId10"/>
      <w:headerReference w:type="first" r:id="rId11"/>
      <w:footerReference w:type="first" r:id="rId12"/>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4692D" w14:textId="77777777" w:rsidR="00611649" w:rsidRDefault="00611649" w:rsidP="00D733CF">
      <w:r>
        <w:separator/>
      </w:r>
    </w:p>
  </w:endnote>
  <w:endnote w:type="continuationSeparator" w:id="0">
    <w:p w14:paraId="3ACD6BCB" w14:textId="77777777" w:rsidR="00611649" w:rsidRDefault="00611649"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6593961"/>
      <w:docPartObj>
        <w:docPartGallery w:val="Page Numbers (Bottom of Page)"/>
        <w:docPartUnique/>
      </w:docPartObj>
    </w:sdtPr>
    <w:sdtEndPr>
      <w:rPr>
        <w:rStyle w:val="PageNumber"/>
      </w:rPr>
    </w:sdtEndPr>
    <w:sdtContent>
      <w:p w14:paraId="6D089F38" w14:textId="353B01D2" w:rsidR="00AD1946" w:rsidRDefault="00AD1946" w:rsidP="004D1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85178" w14:textId="77777777" w:rsidR="00AD1946" w:rsidRDefault="00AD19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Body CS)"/>
      </w:rPr>
      <w:id w:val="-883330541"/>
      <w:docPartObj>
        <w:docPartGallery w:val="Page Numbers (Bottom of Page)"/>
        <w:docPartUnique/>
      </w:docPartObj>
    </w:sdtPr>
    <w:sdtEndPr>
      <w:rPr>
        <w:rStyle w:val="PageNumber"/>
      </w:rPr>
    </w:sdtEndPr>
    <w:sdtContent>
      <w:p w14:paraId="1E523C3A" w14:textId="7DDC9C0B" w:rsidR="00AD1946" w:rsidRPr="00AD1946" w:rsidRDefault="00AD1946" w:rsidP="00AD1946">
        <w:pPr>
          <w:pStyle w:val="Footer"/>
          <w:framePr w:wrap="none" w:vAnchor="text" w:hAnchor="margin" w:xAlign="center" w:y="1"/>
          <w:rPr>
            <w:rStyle w:val="PageNumber"/>
            <w:rFonts w:ascii="Times New Roman" w:hAnsi="Times New Roman" w:cs="Times New Roman (Body CS)"/>
          </w:rPr>
        </w:pPr>
        <w:r w:rsidRPr="00AD1946">
          <w:rPr>
            <w:rStyle w:val="PageNumber"/>
            <w:rFonts w:ascii="Times New Roman" w:hAnsi="Times New Roman" w:cs="Times New Roman (Body CS)"/>
          </w:rPr>
          <w:fldChar w:fldCharType="begin"/>
        </w:r>
        <w:r w:rsidRPr="00AD1946">
          <w:rPr>
            <w:rStyle w:val="PageNumber"/>
            <w:rFonts w:ascii="Times New Roman" w:hAnsi="Times New Roman" w:cs="Times New Roman (Body CS)"/>
          </w:rPr>
          <w:instrText xml:space="preserve"> PAGE </w:instrText>
        </w:r>
        <w:r w:rsidRPr="00AD1946">
          <w:rPr>
            <w:rStyle w:val="PageNumber"/>
            <w:rFonts w:ascii="Times New Roman" w:hAnsi="Times New Roman" w:cs="Times New Roman (Body CS)"/>
          </w:rPr>
          <w:fldChar w:fldCharType="separate"/>
        </w:r>
        <w:r w:rsidRPr="00AD1946">
          <w:rPr>
            <w:rStyle w:val="PageNumber"/>
            <w:rFonts w:ascii="Times New Roman" w:hAnsi="Times New Roman" w:cs="Times New Roman (Body CS)"/>
            <w:noProof/>
          </w:rPr>
          <w:t>2</w:t>
        </w:r>
        <w:r w:rsidRPr="00AD1946">
          <w:rPr>
            <w:rStyle w:val="PageNumber"/>
            <w:rFonts w:ascii="Times New Roman" w:hAnsi="Times New Roman" w:cs="Times New Roman (Body CS)"/>
          </w:rPr>
          <w:fldChar w:fldCharType="end"/>
        </w:r>
      </w:p>
    </w:sdtContent>
  </w:sdt>
  <w:p w14:paraId="608BB0B3" w14:textId="4C7A6FB0" w:rsidR="00646209" w:rsidRPr="00AD1946" w:rsidRDefault="00646209" w:rsidP="00AD1946">
    <w:pPr>
      <w:pStyle w:val="Footer"/>
      <w:ind w:hanging="1080"/>
      <w:jc w:val="center"/>
      <w:rPr>
        <w:rFonts w:ascii="Times New Roman" w:hAnsi="Times New Roman" w:cs="Times New Roman (Body CS)"/>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B87B8" w14:textId="24428F83" w:rsidR="00AD1946" w:rsidRPr="00AD1946" w:rsidRDefault="00AD1946" w:rsidP="00AD1946">
    <w:pPr>
      <w:pStyle w:val="Footer"/>
      <w:jc w:val="center"/>
      <w:rPr>
        <w:rFonts w:ascii="Times New Roman" w:hAnsi="Times New Roman" w:cs="Times New Roman"/>
      </w:rPr>
    </w:pPr>
    <w:r w:rsidRPr="00AD1946">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5B773" w14:textId="77777777" w:rsidR="00611649" w:rsidRDefault="00611649" w:rsidP="00D733CF">
      <w:r>
        <w:separator/>
      </w:r>
    </w:p>
  </w:footnote>
  <w:footnote w:type="continuationSeparator" w:id="0">
    <w:p w14:paraId="77E2814D" w14:textId="77777777" w:rsidR="00611649" w:rsidRDefault="00611649"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54F7" w14:textId="444DE6C3" w:rsidR="00E431D1" w:rsidRDefault="00AD1946"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7B9AB189" wp14:editId="50362A2F">
          <wp:simplePos x="0" y="0"/>
          <wp:positionH relativeFrom="column">
            <wp:posOffset>-10795</wp:posOffset>
          </wp:positionH>
          <wp:positionV relativeFrom="paragraph">
            <wp:posOffset>1905</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extLst>
                      <a:ext uri="{28A0092B-C50C-407E-A947-70E740481C1C}">
                        <a14:useLocalDpi xmlns:a14="http://schemas.microsoft.com/office/drawing/2010/main" val="0"/>
                      </a:ext>
                    </a:extLst>
                  </a:blip>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371"/>
    <w:rsid w:val="00036B3B"/>
    <w:rsid w:val="00036E11"/>
    <w:rsid w:val="00046A1B"/>
    <w:rsid w:val="00083D00"/>
    <w:rsid w:val="000F515E"/>
    <w:rsid w:val="00142F9C"/>
    <w:rsid w:val="00157E93"/>
    <w:rsid w:val="001A3EE7"/>
    <w:rsid w:val="001D476E"/>
    <w:rsid w:val="0024708A"/>
    <w:rsid w:val="00284554"/>
    <w:rsid w:val="002C78A0"/>
    <w:rsid w:val="00304BA9"/>
    <w:rsid w:val="00310508"/>
    <w:rsid w:val="00395191"/>
    <w:rsid w:val="00421606"/>
    <w:rsid w:val="004852FD"/>
    <w:rsid w:val="004A7BAA"/>
    <w:rsid w:val="004F48E1"/>
    <w:rsid w:val="00515373"/>
    <w:rsid w:val="00553DD7"/>
    <w:rsid w:val="005B397F"/>
    <w:rsid w:val="005C1E0C"/>
    <w:rsid w:val="00602537"/>
    <w:rsid w:val="00611649"/>
    <w:rsid w:val="00642661"/>
    <w:rsid w:val="00646209"/>
    <w:rsid w:val="00661004"/>
    <w:rsid w:val="00672730"/>
    <w:rsid w:val="00675AE8"/>
    <w:rsid w:val="007230D2"/>
    <w:rsid w:val="007446CE"/>
    <w:rsid w:val="00762F56"/>
    <w:rsid w:val="008A20F0"/>
    <w:rsid w:val="00927A2A"/>
    <w:rsid w:val="009308F8"/>
    <w:rsid w:val="00951750"/>
    <w:rsid w:val="00AD1946"/>
    <w:rsid w:val="00B102CB"/>
    <w:rsid w:val="00B53BC7"/>
    <w:rsid w:val="00B65CEF"/>
    <w:rsid w:val="00B67A60"/>
    <w:rsid w:val="00C04D68"/>
    <w:rsid w:val="00C0671D"/>
    <w:rsid w:val="00C160AB"/>
    <w:rsid w:val="00C20869"/>
    <w:rsid w:val="00C2583D"/>
    <w:rsid w:val="00C3451B"/>
    <w:rsid w:val="00C607FB"/>
    <w:rsid w:val="00C92F00"/>
    <w:rsid w:val="00CB35B0"/>
    <w:rsid w:val="00CC76A6"/>
    <w:rsid w:val="00D5095C"/>
    <w:rsid w:val="00D733CF"/>
    <w:rsid w:val="00D921A9"/>
    <w:rsid w:val="00DA2371"/>
    <w:rsid w:val="00DB396F"/>
    <w:rsid w:val="00DB77FD"/>
    <w:rsid w:val="00DD365E"/>
    <w:rsid w:val="00E04F1B"/>
    <w:rsid w:val="00E431D1"/>
    <w:rsid w:val="00E70137"/>
    <w:rsid w:val="00E95E8C"/>
    <w:rsid w:val="00FD3E5E"/>
    <w:rsid w:val="00FE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1DC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5E"/>
    <w:pPr>
      <w:keepNext/>
      <w:keepLines/>
      <w:pBdr>
        <w:bottom w:val="single" w:sz="4" w:space="1" w:color="595959" w:themeColor="text1" w:themeTint="A6"/>
      </w:pBdr>
      <w:spacing w:before="360" w:after="120"/>
      <w:jc w:val="both"/>
      <w:outlineLvl w:val="0"/>
    </w:pPr>
    <w:rPr>
      <w:rFonts w:ascii="Georgia" w:eastAsiaTheme="majorEastAsia" w:hAnsi="Georgia" w:cstheme="majorBidi"/>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lang w:eastAsia="ja-JP"/>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lang w:eastAsia="ja-JP"/>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line="259" w:lineRule="auto"/>
      <w:outlineLvl w:val="4"/>
    </w:pPr>
    <w:rPr>
      <w:rFonts w:asciiTheme="majorHAnsi" w:eastAsiaTheme="majorEastAsia" w:hAnsiTheme="majorHAnsi" w:cstheme="majorBidi"/>
      <w:color w:val="323E4F" w:themeColor="text2" w:themeShade="BF"/>
      <w:sz w:val="22"/>
      <w:szCs w:val="22"/>
      <w:lang w:eastAsia="ja-JP"/>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line="259" w:lineRule="auto"/>
      <w:outlineLvl w:val="5"/>
    </w:pPr>
    <w:rPr>
      <w:rFonts w:asciiTheme="majorHAnsi" w:eastAsiaTheme="majorEastAsia" w:hAnsiTheme="majorHAnsi" w:cstheme="majorBidi"/>
      <w:i/>
      <w:iCs/>
      <w:color w:val="323E4F" w:themeColor="text2" w:themeShade="BF"/>
      <w:sz w:val="22"/>
      <w:szCs w:val="22"/>
      <w:lang w:eastAsia="ja-JP"/>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DD365E"/>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paragraph" w:customStyle="1" w:styleId="p1">
    <w:name w:val="p1"/>
    <w:basedOn w:val="Normal"/>
    <w:rsid w:val="004A7BAA"/>
    <w:rPr>
      <w:rFonts w:ascii="Georgia" w:hAnsi="Georgia" w:cs="Times New Roman"/>
      <w:color w:val="232323"/>
      <w:sz w:val="27"/>
      <w:szCs w:val="27"/>
    </w:rPr>
  </w:style>
  <w:style w:type="character" w:customStyle="1" w:styleId="s1">
    <w:name w:val="s1"/>
    <w:basedOn w:val="DefaultParagraphFont"/>
    <w:rsid w:val="004A7BAA"/>
  </w:style>
  <w:style w:type="character" w:customStyle="1" w:styleId="apple-converted-space">
    <w:name w:val="apple-converted-space"/>
    <w:basedOn w:val="DefaultParagraphFont"/>
    <w:rsid w:val="004A7BAA"/>
  </w:style>
  <w:style w:type="character" w:styleId="FollowedHyperlink">
    <w:name w:val="FollowedHyperlink"/>
    <w:basedOn w:val="DefaultParagraphFont"/>
    <w:uiPriority w:val="99"/>
    <w:semiHidden/>
    <w:unhideWhenUsed/>
    <w:rsid w:val="00C2583D"/>
    <w:rPr>
      <w:color w:val="954F72" w:themeColor="followedHyperlink"/>
      <w:u w:val="single"/>
    </w:rPr>
  </w:style>
  <w:style w:type="paragraph" w:styleId="NormalWeb">
    <w:name w:val="Normal (Web)"/>
    <w:basedOn w:val="Normal"/>
    <w:uiPriority w:val="99"/>
    <w:semiHidden/>
    <w:unhideWhenUsed/>
    <w:rsid w:val="00036B3B"/>
    <w:rPr>
      <w:rFonts w:ascii="Times New Roman" w:hAnsi="Times New Roman" w:cs="Times New Roman"/>
    </w:rPr>
  </w:style>
  <w:style w:type="paragraph" w:customStyle="1" w:styleId="Tableheader">
    <w:name w:val="Table header"/>
    <w:basedOn w:val="Normal"/>
    <w:autoRedefine/>
    <w:qFormat/>
    <w:rsid w:val="00AD1946"/>
    <w:pPr>
      <w:spacing w:before="100" w:after="100"/>
      <w:contextualSpacing/>
      <w:jc w:val="center"/>
    </w:pPr>
    <w:rPr>
      <w:rFonts w:ascii="Times New Roman" w:eastAsiaTheme="minorEastAsia" w:hAnsi="Times New Roman" w:cs="Times New Roman"/>
      <w:b/>
      <w:szCs w:val="22"/>
      <w:lang w:eastAsia="ja-JP"/>
    </w:rPr>
  </w:style>
  <w:style w:type="paragraph" w:customStyle="1" w:styleId="StyleCentered">
    <w:name w:val="Style Centered"/>
    <w:basedOn w:val="Normal"/>
    <w:autoRedefine/>
    <w:qFormat/>
    <w:rsid w:val="00AD1946"/>
    <w:pPr>
      <w:pBdr>
        <w:top w:val="nil"/>
        <w:left w:val="nil"/>
        <w:bottom w:val="nil"/>
        <w:right w:val="nil"/>
        <w:between w:val="nil"/>
      </w:pBdr>
      <w:spacing w:after="120"/>
      <w:jc w:val="center"/>
    </w:pPr>
    <w:rPr>
      <w:rFonts w:ascii="Times New Roman" w:eastAsia="Times New Roman" w:hAnsi="Times New Roman" w:cs="Times New Roman"/>
      <w:szCs w:val="20"/>
    </w:rPr>
  </w:style>
  <w:style w:type="table" w:styleId="TableGrid">
    <w:name w:val="Table Grid"/>
    <w:basedOn w:val="TableNormal"/>
    <w:uiPriority w:val="59"/>
    <w:rsid w:val="00AD1946"/>
    <w:pPr>
      <w:pBdr>
        <w:top w:val="nil"/>
        <w:left w:val="nil"/>
        <w:bottom w:val="nil"/>
        <w:right w:val="nil"/>
        <w:between w:val="nil"/>
      </w:pBdr>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uiPriority w:val="51"/>
    <w:rsid w:val="00AD1946"/>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3060">
      <w:bodyDiv w:val="1"/>
      <w:marLeft w:val="0"/>
      <w:marRight w:val="0"/>
      <w:marTop w:val="0"/>
      <w:marBottom w:val="0"/>
      <w:divBdr>
        <w:top w:val="none" w:sz="0" w:space="0" w:color="auto"/>
        <w:left w:val="none" w:sz="0" w:space="0" w:color="auto"/>
        <w:bottom w:val="none" w:sz="0" w:space="0" w:color="auto"/>
        <w:right w:val="none" w:sz="0" w:space="0" w:color="auto"/>
      </w:divBdr>
      <w:divsChild>
        <w:div w:id="1757432887">
          <w:marLeft w:val="0"/>
          <w:marRight w:val="0"/>
          <w:marTop w:val="0"/>
          <w:marBottom w:val="0"/>
          <w:divBdr>
            <w:top w:val="none" w:sz="0" w:space="0" w:color="auto"/>
            <w:left w:val="none" w:sz="0" w:space="0" w:color="auto"/>
            <w:bottom w:val="none" w:sz="0" w:space="0" w:color="auto"/>
            <w:right w:val="none" w:sz="0" w:space="0" w:color="auto"/>
          </w:divBdr>
          <w:divsChild>
            <w:div w:id="1807157218">
              <w:marLeft w:val="0"/>
              <w:marRight w:val="0"/>
              <w:marTop w:val="0"/>
              <w:marBottom w:val="0"/>
              <w:divBdr>
                <w:top w:val="none" w:sz="0" w:space="0" w:color="auto"/>
                <w:left w:val="none" w:sz="0" w:space="0" w:color="auto"/>
                <w:bottom w:val="none" w:sz="0" w:space="0" w:color="auto"/>
                <w:right w:val="none" w:sz="0" w:space="0" w:color="auto"/>
              </w:divBdr>
              <w:divsChild>
                <w:div w:id="18135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3519">
      <w:bodyDiv w:val="1"/>
      <w:marLeft w:val="0"/>
      <w:marRight w:val="0"/>
      <w:marTop w:val="0"/>
      <w:marBottom w:val="0"/>
      <w:divBdr>
        <w:top w:val="none" w:sz="0" w:space="0" w:color="auto"/>
        <w:left w:val="none" w:sz="0" w:space="0" w:color="auto"/>
        <w:bottom w:val="none" w:sz="0" w:space="0" w:color="auto"/>
        <w:right w:val="none" w:sz="0" w:space="0" w:color="auto"/>
      </w:divBdr>
    </w:div>
    <w:div w:id="186219610">
      <w:bodyDiv w:val="1"/>
      <w:marLeft w:val="0"/>
      <w:marRight w:val="0"/>
      <w:marTop w:val="0"/>
      <w:marBottom w:val="0"/>
      <w:divBdr>
        <w:top w:val="none" w:sz="0" w:space="0" w:color="auto"/>
        <w:left w:val="none" w:sz="0" w:space="0" w:color="auto"/>
        <w:bottom w:val="none" w:sz="0" w:space="0" w:color="auto"/>
        <w:right w:val="none" w:sz="0" w:space="0" w:color="auto"/>
      </w:divBdr>
    </w:div>
    <w:div w:id="207574025">
      <w:bodyDiv w:val="1"/>
      <w:marLeft w:val="0"/>
      <w:marRight w:val="0"/>
      <w:marTop w:val="0"/>
      <w:marBottom w:val="0"/>
      <w:divBdr>
        <w:top w:val="none" w:sz="0" w:space="0" w:color="auto"/>
        <w:left w:val="none" w:sz="0" w:space="0" w:color="auto"/>
        <w:bottom w:val="none" w:sz="0" w:space="0" w:color="auto"/>
        <w:right w:val="none" w:sz="0" w:space="0" w:color="auto"/>
      </w:divBdr>
    </w:div>
    <w:div w:id="229462373">
      <w:bodyDiv w:val="1"/>
      <w:marLeft w:val="0"/>
      <w:marRight w:val="0"/>
      <w:marTop w:val="0"/>
      <w:marBottom w:val="0"/>
      <w:divBdr>
        <w:top w:val="none" w:sz="0" w:space="0" w:color="auto"/>
        <w:left w:val="none" w:sz="0" w:space="0" w:color="auto"/>
        <w:bottom w:val="none" w:sz="0" w:space="0" w:color="auto"/>
        <w:right w:val="none" w:sz="0" w:space="0" w:color="auto"/>
      </w:divBdr>
    </w:div>
    <w:div w:id="343092976">
      <w:bodyDiv w:val="1"/>
      <w:marLeft w:val="0"/>
      <w:marRight w:val="0"/>
      <w:marTop w:val="0"/>
      <w:marBottom w:val="0"/>
      <w:divBdr>
        <w:top w:val="none" w:sz="0" w:space="0" w:color="auto"/>
        <w:left w:val="none" w:sz="0" w:space="0" w:color="auto"/>
        <w:bottom w:val="none" w:sz="0" w:space="0" w:color="auto"/>
        <w:right w:val="none" w:sz="0" w:space="0" w:color="auto"/>
      </w:divBdr>
    </w:div>
    <w:div w:id="388187361">
      <w:bodyDiv w:val="1"/>
      <w:marLeft w:val="0"/>
      <w:marRight w:val="0"/>
      <w:marTop w:val="0"/>
      <w:marBottom w:val="0"/>
      <w:divBdr>
        <w:top w:val="none" w:sz="0" w:space="0" w:color="auto"/>
        <w:left w:val="none" w:sz="0" w:space="0" w:color="auto"/>
        <w:bottom w:val="none" w:sz="0" w:space="0" w:color="auto"/>
        <w:right w:val="none" w:sz="0" w:space="0" w:color="auto"/>
      </w:divBdr>
    </w:div>
    <w:div w:id="410615801">
      <w:bodyDiv w:val="1"/>
      <w:marLeft w:val="0"/>
      <w:marRight w:val="0"/>
      <w:marTop w:val="0"/>
      <w:marBottom w:val="0"/>
      <w:divBdr>
        <w:top w:val="none" w:sz="0" w:space="0" w:color="auto"/>
        <w:left w:val="none" w:sz="0" w:space="0" w:color="auto"/>
        <w:bottom w:val="none" w:sz="0" w:space="0" w:color="auto"/>
        <w:right w:val="none" w:sz="0" w:space="0" w:color="auto"/>
      </w:divBdr>
    </w:div>
    <w:div w:id="430130537">
      <w:bodyDiv w:val="1"/>
      <w:marLeft w:val="0"/>
      <w:marRight w:val="0"/>
      <w:marTop w:val="0"/>
      <w:marBottom w:val="0"/>
      <w:divBdr>
        <w:top w:val="none" w:sz="0" w:space="0" w:color="auto"/>
        <w:left w:val="none" w:sz="0" w:space="0" w:color="auto"/>
        <w:bottom w:val="none" w:sz="0" w:space="0" w:color="auto"/>
        <w:right w:val="none" w:sz="0" w:space="0" w:color="auto"/>
      </w:divBdr>
      <w:divsChild>
        <w:div w:id="51851702">
          <w:marLeft w:val="0"/>
          <w:marRight w:val="0"/>
          <w:marTop w:val="0"/>
          <w:marBottom w:val="0"/>
          <w:divBdr>
            <w:top w:val="none" w:sz="0" w:space="0" w:color="auto"/>
            <w:left w:val="none" w:sz="0" w:space="0" w:color="auto"/>
            <w:bottom w:val="none" w:sz="0" w:space="0" w:color="auto"/>
            <w:right w:val="none" w:sz="0" w:space="0" w:color="auto"/>
          </w:divBdr>
          <w:divsChild>
            <w:div w:id="690834124">
              <w:marLeft w:val="0"/>
              <w:marRight w:val="0"/>
              <w:marTop w:val="0"/>
              <w:marBottom w:val="0"/>
              <w:divBdr>
                <w:top w:val="none" w:sz="0" w:space="0" w:color="auto"/>
                <w:left w:val="none" w:sz="0" w:space="0" w:color="auto"/>
                <w:bottom w:val="none" w:sz="0" w:space="0" w:color="auto"/>
                <w:right w:val="none" w:sz="0" w:space="0" w:color="auto"/>
              </w:divBdr>
              <w:divsChild>
                <w:div w:id="20474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2887">
      <w:bodyDiv w:val="1"/>
      <w:marLeft w:val="0"/>
      <w:marRight w:val="0"/>
      <w:marTop w:val="0"/>
      <w:marBottom w:val="0"/>
      <w:divBdr>
        <w:top w:val="none" w:sz="0" w:space="0" w:color="auto"/>
        <w:left w:val="none" w:sz="0" w:space="0" w:color="auto"/>
        <w:bottom w:val="none" w:sz="0" w:space="0" w:color="auto"/>
        <w:right w:val="none" w:sz="0" w:space="0" w:color="auto"/>
      </w:divBdr>
    </w:div>
    <w:div w:id="562449661">
      <w:bodyDiv w:val="1"/>
      <w:marLeft w:val="0"/>
      <w:marRight w:val="0"/>
      <w:marTop w:val="0"/>
      <w:marBottom w:val="0"/>
      <w:divBdr>
        <w:top w:val="none" w:sz="0" w:space="0" w:color="auto"/>
        <w:left w:val="none" w:sz="0" w:space="0" w:color="auto"/>
        <w:bottom w:val="none" w:sz="0" w:space="0" w:color="auto"/>
        <w:right w:val="none" w:sz="0" w:space="0" w:color="auto"/>
      </w:divBdr>
      <w:divsChild>
        <w:div w:id="845248845">
          <w:marLeft w:val="0"/>
          <w:marRight w:val="0"/>
          <w:marTop w:val="0"/>
          <w:marBottom w:val="0"/>
          <w:divBdr>
            <w:top w:val="none" w:sz="0" w:space="0" w:color="auto"/>
            <w:left w:val="none" w:sz="0" w:space="0" w:color="auto"/>
            <w:bottom w:val="none" w:sz="0" w:space="0" w:color="auto"/>
            <w:right w:val="none" w:sz="0" w:space="0" w:color="auto"/>
          </w:divBdr>
          <w:divsChild>
            <w:div w:id="188183054">
              <w:marLeft w:val="0"/>
              <w:marRight w:val="0"/>
              <w:marTop w:val="0"/>
              <w:marBottom w:val="0"/>
              <w:divBdr>
                <w:top w:val="none" w:sz="0" w:space="0" w:color="auto"/>
                <w:left w:val="none" w:sz="0" w:space="0" w:color="auto"/>
                <w:bottom w:val="none" w:sz="0" w:space="0" w:color="auto"/>
                <w:right w:val="none" w:sz="0" w:space="0" w:color="auto"/>
              </w:divBdr>
              <w:divsChild>
                <w:div w:id="16813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3313">
      <w:bodyDiv w:val="1"/>
      <w:marLeft w:val="0"/>
      <w:marRight w:val="0"/>
      <w:marTop w:val="0"/>
      <w:marBottom w:val="0"/>
      <w:divBdr>
        <w:top w:val="none" w:sz="0" w:space="0" w:color="auto"/>
        <w:left w:val="none" w:sz="0" w:space="0" w:color="auto"/>
        <w:bottom w:val="none" w:sz="0" w:space="0" w:color="auto"/>
        <w:right w:val="none" w:sz="0" w:space="0" w:color="auto"/>
      </w:divBdr>
    </w:div>
    <w:div w:id="1227958055">
      <w:bodyDiv w:val="1"/>
      <w:marLeft w:val="0"/>
      <w:marRight w:val="0"/>
      <w:marTop w:val="0"/>
      <w:marBottom w:val="0"/>
      <w:divBdr>
        <w:top w:val="none" w:sz="0" w:space="0" w:color="auto"/>
        <w:left w:val="none" w:sz="0" w:space="0" w:color="auto"/>
        <w:bottom w:val="none" w:sz="0" w:space="0" w:color="auto"/>
        <w:right w:val="none" w:sz="0" w:space="0" w:color="auto"/>
      </w:divBdr>
    </w:div>
    <w:div w:id="1738359897">
      <w:bodyDiv w:val="1"/>
      <w:marLeft w:val="0"/>
      <w:marRight w:val="0"/>
      <w:marTop w:val="0"/>
      <w:marBottom w:val="0"/>
      <w:divBdr>
        <w:top w:val="none" w:sz="0" w:space="0" w:color="auto"/>
        <w:left w:val="none" w:sz="0" w:space="0" w:color="auto"/>
        <w:bottom w:val="none" w:sz="0" w:space="0" w:color="auto"/>
        <w:right w:val="none" w:sz="0" w:space="0" w:color="auto"/>
      </w:divBdr>
      <w:divsChild>
        <w:div w:id="362174643">
          <w:marLeft w:val="0"/>
          <w:marRight w:val="0"/>
          <w:marTop w:val="0"/>
          <w:marBottom w:val="0"/>
          <w:divBdr>
            <w:top w:val="none" w:sz="0" w:space="0" w:color="auto"/>
            <w:left w:val="none" w:sz="0" w:space="0" w:color="auto"/>
            <w:bottom w:val="none" w:sz="0" w:space="0" w:color="auto"/>
            <w:right w:val="none" w:sz="0" w:space="0" w:color="auto"/>
          </w:divBdr>
          <w:divsChild>
            <w:div w:id="634220372">
              <w:marLeft w:val="0"/>
              <w:marRight w:val="0"/>
              <w:marTop w:val="0"/>
              <w:marBottom w:val="0"/>
              <w:divBdr>
                <w:top w:val="none" w:sz="0" w:space="0" w:color="auto"/>
                <w:left w:val="none" w:sz="0" w:space="0" w:color="auto"/>
                <w:bottom w:val="none" w:sz="0" w:space="0" w:color="auto"/>
                <w:right w:val="none" w:sz="0" w:space="0" w:color="auto"/>
              </w:divBdr>
              <w:divsChild>
                <w:div w:id="13741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3458">
      <w:bodyDiv w:val="1"/>
      <w:marLeft w:val="0"/>
      <w:marRight w:val="0"/>
      <w:marTop w:val="0"/>
      <w:marBottom w:val="0"/>
      <w:divBdr>
        <w:top w:val="none" w:sz="0" w:space="0" w:color="auto"/>
        <w:left w:val="none" w:sz="0" w:space="0" w:color="auto"/>
        <w:bottom w:val="none" w:sz="0" w:space="0" w:color="auto"/>
        <w:right w:val="none" w:sz="0" w:space="0" w:color="auto"/>
      </w:divBdr>
    </w:div>
    <w:div w:id="1872455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rada/Library/Group%20Containers/UBF8T346G9.Office/User%20Content.localized/Templates.localized/Case%20Stu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3B02E2-3671-FF43-8C19-CB8835D9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 Study.dotx</Template>
  <TotalTime>1</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3</cp:revision>
  <cp:lastPrinted>2016-10-19T17:09:00Z</cp:lastPrinted>
  <dcterms:created xsi:type="dcterms:W3CDTF">2018-02-05T08:33:00Z</dcterms:created>
  <dcterms:modified xsi:type="dcterms:W3CDTF">2019-07-30T19:42:00Z</dcterms:modified>
</cp:coreProperties>
</file>