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E3C" w14:textId="5919C2D7" w:rsidR="00286CB9" w:rsidRPr="00F76F5A" w:rsidRDefault="007B3DAC" w:rsidP="00FC154E">
      <w:pPr>
        <w:pStyle w:val="Title"/>
      </w:pPr>
      <w:r w:rsidRPr="00F76F5A">
        <w:t xml:space="preserve">NAMIBIA TV WHITE SPACE </w:t>
      </w:r>
      <w:r w:rsidR="007C4AD1" w:rsidRPr="00F76F5A">
        <w:t>PILOT PROJECT</w:t>
      </w:r>
    </w:p>
    <w:p w14:paraId="646E8E04" w14:textId="0EA15976" w:rsidR="0093552C" w:rsidRPr="00FC154E" w:rsidRDefault="00D325C8" w:rsidP="00FC154E">
      <w:pPr>
        <w:pStyle w:val="Title"/>
        <w:rPr>
          <w:rFonts w:asciiTheme="majorHAnsi" w:hAnsiTheme="majorHAnsi" w:cstheme="majorHAnsi"/>
          <w:sz w:val="36"/>
          <w:szCs w:val="36"/>
        </w:rPr>
      </w:pPr>
      <w:r w:rsidRPr="00FC154E">
        <w:rPr>
          <w:rFonts w:asciiTheme="majorHAnsi" w:hAnsiTheme="majorHAnsi" w:cstheme="majorHAnsi"/>
          <w:sz w:val="36"/>
          <w:szCs w:val="36"/>
        </w:rPr>
        <w:t xml:space="preserve">BRINGING BROADBAND </w:t>
      </w:r>
      <w:r w:rsidR="00D7088B" w:rsidRPr="00FC154E">
        <w:rPr>
          <w:rFonts w:asciiTheme="majorHAnsi" w:hAnsiTheme="majorHAnsi" w:cstheme="majorHAnsi"/>
          <w:sz w:val="36"/>
          <w:szCs w:val="36"/>
        </w:rPr>
        <w:t>ACCESS TO RURAL COMMUNITIES</w:t>
      </w:r>
    </w:p>
    <w:p w14:paraId="194DF080" w14:textId="4DE0310D" w:rsidR="00286CB9" w:rsidRPr="00F76F5A" w:rsidRDefault="00CE0405" w:rsidP="00FC154E">
      <w:pPr>
        <w:pStyle w:val="Title"/>
      </w:pPr>
      <w:r w:rsidRPr="00B13197">
        <w:rPr>
          <w:noProof/>
          <w:lang w:eastAsia="en-US"/>
        </w:rPr>
        <w:drawing>
          <wp:inline distT="0" distB="0" distL="0" distR="0" wp14:anchorId="407FEDB1" wp14:editId="25C8853C">
            <wp:extent cx="5709922" cy="58289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ibi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6"/>
                    <a:stretch/>
                  </pic:blipFill>
                  <pic:spPr bwMode="auto">
                    <a:xfrm>
                      <a:off x="0" y="0"/>
                      <a:ext cx="5740818" cy="586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inline>
        </w:drawing>
      </w:r>
      <w:r w:rsidR="00FC154E" w:rsidRPr="00FC154E">
        <w:rPr>
          <w:rFonts w:ascii="Times New Roman" w:hAnsi="Times New Roman" w:cs="Times New Roman"/>
          <w:i/>
          <w:sz w:val="24"/>
          <w:szCs w:val="24"/>
        </w:rPr>
        <w:t>Namibia TVWS Project towers</w:t>
      </w:r>
      <w:r w:rsidR="006E694E" w:rsidRPr="00FC154E">
        <w:rPr>
          <w:rFonts w:ascii="Times New Roman" w:hAnsi="Times New Roman" w:cs="Times New Roman"/>
          <w:i/>
          <w:sz w:val="24"/>
          <w:szCs w:val="24"/>
        </w:rPr>
        <w:t xml:space="preserve">. Photo </w:t>
      </w:r>
      <w:r w:rsidR="0031042E" w:rsidRPr="00FC154E">
        <w:rPr>
          <w:rFonts w:ascii="Times New Roman" w:hAnsi="Times New Roman" w:cs="Times New Roman"/>
          <w:i/>
          <w:sz w:val="24"/>
          <w:szCs w:val="24"/>
        </w:rPr>
        <w:t>credit</w:t>
      </w:r>
      <w:r w:rsidRPr="00FC154E">
        <w:rPr>
          <w:rFonts w:ascii="Times New Roman" w:hAnsi="Times New Roman" w:cs="Times New Roman"/>
          <w:i/>
          <w:sz w:val="24"/>
          <w:szCs w:val="24"/>
        </w:rPr>
        <w:t>:</w:t>
      </w:r>
      <w:r w:rsidR="00FC154E" w:rsidRPr="00FC154E">
        <w:rPr>
          <w:rFonts w:ascii="Times New Roman" w:hAnsi="Times New Roman" w:cs="Times New Roman"/>
          <w:i/>
          <w:sz w:val="24"/>
          <w:szCs w:val="24"/>
        </w:rPr>
        <w:t xml:space="preserve"> Namibia TVWS project</w:t>
      </w:r>
    </w:p>
    <w:p w14:paraId="5E1020E3" w14:textId="31D7901B" w:rsidR="00286CB9" w:rsidRPr="00F76F5A" w:rsidRDefault="007B3DAC" w:rsidP="00095933">
      <w:pPr>
        <w:pStyle w:val="Heading1"/>
        <w:spacing w:before="0"/>
      </w:pPr>
      <w:r>
        <w:rPr>
          <w:b/>
        </w:rPr>
        <w:br w:type="page"/>
      </w:r>
      <w:r w:rsidR="00286CB9" w:rsidRPr="00B13197">
        <w:lastRenderedPageBreak/>
        <w:t xml:space="preserve">Executive Summary </w:t>
      </w:r>
    </w:p>
    <w:p w14:paraId="254439F5" w14:textId="25163F58" w:rsidR="00F52CB1" w:rsidRPr="00B13197" w:rsidRDefault="006C26E6" w:rsidP="00F76F5A">
      <w:pPr>
        <w:spacing w:after="0"/>
        <w:jc w:val="both"/>
        <w:rPr>
          <w:rFonts w:cs="Times New Roman"/>
          <w:szCs w:val="24"/>
        </w:rPr>
      </w:pPr>
      <w:r w:rsidRPr="00B13197">
        <w:rPr>
          <w:rFonts w:cs="Times New Roman"/>
          <w:szCs w:val="24"/>
        </w:rPr>
        <w:t xml:space="preserve">My Digital Bridge Foundation </w:t>
      </w:r>
      <w:r w:rsidR="00DB0DAE" w:rsidRPr="00B13197">
        <w:rPr>
          <w:rFonts w:cs="Times New Roman"/>
          <w:szCs w:val="24"/>
        </w:rPr>
        <w:t xml:space="preserve">launched </w:t>
      </w:r>
      <w:r w:rsidRPr="00B13197">
        <w:rPr>
          <w:rFonts w:cs="Times New Roman"/>
          <w:szCs w:val="24"/>
        </w:rPr>
        <w:t xml:space="preserve">a pilot project </w:t>
      </w:r>
      <w:r w:rsidR="00FF7464">
        <w:rPr>
          <w:rFonts w:cs="Times New Roman"/>
          <w:szCs w:val="24"/>
        </w:rPr>
        <w:t>to test TV white space spectrum use</w:t>
      </w:r>
      <w:r w:rsidR="00DB0DAE" w:rsidRPr="00B13197">
        <w:rPr>
          <w:rFonts w:cs="Times New Roman"/>
          <w:szCs w:val="24"/>
        </w:rPr>
        <w:t xml:space="preserve"> viability in Namibia</w:t>
      </w:r>
      <w:r w:rsidR="00FF7464">
        <w:rPr>
          <w:rFonts w:cs="Times New Roman"/>
          <w:szCs w:val="24"/>
        </w:rPr>
        <w:t xml:space="preserve"> in 2014</w:t>
      </w:r>
      <w:r>
        <w:rPr>
          <w:rFonts w:cs="Times New Roman"/>
          <w:szCs w:val="24"/>
        </w:rPr>
        <w:t xml:space="preserve">. </w:t>
      </w:r>
      <w:r w:rsidR="00D960A5">
        <w:rPr>
          <w:rFonts w:cs="Times New Roman"/>
          <w:szCs w:val="24"/>
        </w:rPr>
        <w:t xml:space="preserve">Known as </w:t>
      </w:r>
      <w:r w:rsidR="00DB0DAE" w:rsidRPr="00B13197">
        <w:rPr>
          <w:rFonts w:cs="Times New Roman"/>
          <w:szCs w:val="24"/>
        </w:rPr>
        <w:t>Citizen Connect</w:t>
      </w:r>
      <w:r w:rsidR="00D960A5">
        <w:rPr>
          <w:rFonts w:cs="Times New Roman"/>
          <w:szCs w:val="24"/>
        </w:rPr>
        <w:t xml:space="preserve">, </w:t>
      </w:r>
      <w:r w:rsidR="00FF7464">
        <w:rPr>
          <w:rFonts w:cs="Times New Roman"/>
          <w:szCs w:val="24"/>
        </w:rPr>
        <w:t>the project aimed</w:t>
      </w:r>
      <w:r w:rsidR="004D451F" w:rsidRPr="00B13197">
        <w:rPr>
          <w:rFonts w:cs="Times New Roman"/>
          <w:szCs w:val="24"/>
        </w:rPr>
        <w:t xml:space="preserve"> to provide broadband </w:t>
      </w:r>
      <w:r w:rsidR="00DB0DAE" w:rsidRPr="00B13197">
        <w:rPr>
          <w:rFonts w:cs="Times New Roman"/>
          <w:szCs w:val="24"/>
        </w:rPr>
        <w:t>to ru</w:t>
      </w:r>
      <w:r w:rsidR="00CE0405" w:rsidRPr="00B13197">
        <w:rPr>
          <w:rFonts w:cs="Times New Roman"/>
          <w:szCs w:val="24"/>
        </w:rPr>
        <w:t>ral settlements via</w:t>
      </w:r>
      <w:r w:rsidR="00FF7464">
        <w:rPr>
          <w:rFonts w:cs="Times New Roman"/>
          <w:szCs w:val="24"/>
        </w:rPr>
        <w:t xml:space="preserve"> unused frequencies</w:t>
      </w:r>
      <w:r w:rsidR="00DB0DAE" w:rsidRPr="00B13197">
        <w:rPr>
          <w:rFonts w:cs="Times New Roman"/>
          <w:szCs w:val="24"/>
        </w:rPr>
        <w:t xml:space="preserve"> in the </w:t>
      </w:r>
      <w:proofErr w:type="spellStart"/>
      <w:r w:rsidR="00FF7464">
        <w:rPr>
          <w:rFonts w:cs="Times New Roman"/>
          <w:szCs w:val="24"/>
        </w:rPr>
        <w:t xml:space="preserve">ultra </w:t>
      </w:r>
      <w:r>
        <w:rPr>
          <w:rFonts w:cs="Times New Roman"/>
          <w:szCs w:val="24"/>
        </w:rPr>
        <w:t>high</w:t>
      </w:r>
      <w:proofErr w:type="spellEnd"/>
      <w:r>
        <w:rPr>
          <w:rFonts w:cs="Times New Roman"/>
          <w:szCs w:val="24"/>
        </w:rPr>
        <w:t xml:space="preserve"> frequency (</w:t>
      </w:r>
      <w:r w:rsidR="00DB0DAE" w:rsidRPr="00B13197">
        <w:rPr>
          <w:rFonts w:cs="Times New Roman"/>
          <w:szCs w:val="24"/>
        </w:rPr>
        <w:t>UHF</w:t>
      </w:r>
      <w:r>
        <w:rPr>
          <w:rFonts w:cs="Times New Roman"/>
          <w:szCs w:val="24"/>
        </w:rPr>
        <w:t>)</w:t>
      </w:r>
      <w:r w:rsidR="00DB0DAE" w:rsidRPr="00B13197">
        <w:rPr>
          <w:rFonts w:cs="Times New Roman"/>
          <w:szCs w:val="24"/>
        </w:rPr>
        <w:t xml:space="preserve"> terrestrial </w:t>
      </w:r>
      <w:r w:rsidR="00C67C89">
        <w:rPr>
          <w:rFonts w:cs="Times New Roman"/>
          <w:szCs w:val="24"/>
        </w:rPr>
        <w:t xml:space="preserve">television broadcasting bands. </w:t>
      </w:r>
      <w:r w:rsidR="00420F72" w:rsidRPr="00B13197">
        <w:rPr>
          <w:rFonts w:cs="Times New Roman"/>
          <w:szCs w:val="24"/>
        </w:rPr>
        <w:t>The pilot was launched in</w:t>
      </w:r>
      <w:r w:rsidR="00C67C89">
        <w:rPr>
          <w:rFonts w:cs="Times New Roman"/>
          <w:szCs w:val="24"/>
        </w:rPr>
        <w:t xml:space="preserve"> </w:t>
      </w:r>
      <w:r w:rsidR="006C72FB">
        <w:rPr>
          <w:rFonts w:cs="Times New Roman"/>
          <w:szCs w:val="24"/>
        </w:rPr>
        <w:t xml:space="preserve">the northern region of Namibia. </w:t>
      </w:r>
      <w:r w:rsidR="00FF7464">
        <w:rPr>
          <w:rFonts w:cs="Times New Roman"/>
          <w:szCs w:val="24"/>
        </w:rPr>
        <w:t>The project has faced funding and regulatory challenges in initiating a countrywide rollout</w:t>
      </w:r>
      <w:r w:rsidR="006C72FB">
        <w:rPr>
          <w:rFonts w:cs="Times New Roman"/>
          <w:szCs w:val="24"/>
        </w:rPr>
        <w:t xml:space="preserve"> but succeeded</w:t>
      </w:r>
      <w:r w:rsidR="006C72FB" w:rsidRPr="00B13197">
        <w:rPr>
          <w:rFonts w:cs="Times New Roman"/>
          <w:szCs w:val="24"/>
        </w:rPr>
        <w:t xml:space="preserve"> in connecting 27 scho</w:t>
      </w:r>
      <w:r w:rsidR="006C72FB">
        <w:rPr>
          <w:rFonts w:cs="Times New Roman"/>
          <w:szCs w:val="24"/>
        </w:rPr>
        <w:t>ols and seven</w:t>
      </w:r>
      <w:r w:rsidR="006C72FB" w:rsidRPr="00B13197">
        <w:rPr>
          <w:rFonts w:cs="Times New Roman"/>
          <w:szCs w:val="24"/>
        </w:rPr>
        <w:t xml:space="preserve"> Ministry of Education </w:t>
      </w:r>
      <w:r w:rsidR="006C72FB">
        <w:rPr>
          <w:rFonts w:cs="Times New Roman"/>
          <w:szCs w:val="24"/>
        </w:rPr>
        <w:t>offices.</w:t>
      </w:r>
    </w:p>
    <w:p w14:paraId="2B57E166" w14:textId="77777777" w:rsidR="00444FCC" w:rsidRPr="00B13197" w:rsidRDefault="00444FCC" w:rsidP="00F76F5A">
      <w:pPr>
        <w:spacing w:after="0"/>
        <w:jc w:val="both"/>
        <w:rPr>
          <w:rFonts w:cs="Times New Roman"/>
          <w:i/>
          <w:szCs w:val="24"/>
        </w:rPr>
      </w:pPr>
    </w:p>
    <w:p w14:paraId="6F14AE80" w14:textId="6CE31759" w:rsidR="00444FCC" w:rsidRPr="00B13197" w:rsidRDefault="00444FCC" w:rsidP="00F76F5A">
      <w:pPr>
        <w:spacing w:after="0"/>
        <w:jc w:val="both"/>
        <w:rPr>
          <w:rFonts w:cs="Times New Roman"/>
          <w:i/>
          <w:szCs w:val="24"/>
        </w:rPr>
      </w:pPr>
      <w:r w:rsidRPr="00B13197">
        <w:rPr>
          <w:rFonts w:cs="Times New Roman"/>
          <w:i/>
          <w:szCs w:val="24"/>
        </w:rPr>
        <w:t xml:space="preserve">Keywords: TV white space, </w:t>
      </w:r>
      <w:r w:rsidR="00C26A62">
        <w:rPr>
          <w:rFonts w:cs="Times New Roman"/>
          <w:i/>
          <w:szCs w:val="24"/>
        </w:rPr>
        <w:t xml:space="preserve">connectivity, </w:t>
      </w:r>
      <w:r w:rsidRPr="00B13197">
        <w:rPr>
          <w:rFonts w:cs="Times New Roman"/>
          <w:i/>
          <w:szCs w:val="24"/>
        </w:rPr>
        <w:t>rural</w:t>
      </w:r>
      <w:r w:rsidR="00C26A62">
        <w:rPr>
          <w:rFonts w:cs="Times New Roman"/>
          <w:i/>
          <w:szCs w:val="24"/>
        </w:rPr>
        <w:t>, Namibia</w:t>
      </w:r>
    </w:p>
    <w:p w14:paraId="28DE89C3" w14:textId="0F364553" w:rsidR="00B511AF" w:rsidRPr="00B13197" w:rsidRDefault="00286CB9" w:rsidP="00F76F5A">
      <w:pPr>
        <w:pStyle w:val="Heading1"/>
        <w:rPr>
          <w:b/>
        </w:rPr>
      </w:pPr>
      <w:r w:rsidRPr="00F76F5A">
        <w:t>Context</w:t>
      </w:r>
    </w:p>
    <w:p w14:paraId="07586A20" w14:textId="77777777" w:rsidR="00F76F5A" w:rsidRDefault="004F6CB8" w:rsidP="00F76F5A">
      <w:pPr>
        <w:jc w:val="both"/>
        <w:rPr>
          <w:rFonts w:cs="Times New Roman"/>
          <w:szCs w:val="24"/>
        </w:rPr>
      </w:pPr>
      <w:r w:rsidRPr="00B13197">
        <w:rPr>
          <w:rFonts w:cs="Times New Roman"/>
          <w:szCs w:val="24"/>
        </w:rPr>
        <w:t>Namibia</w:t>
      </w:r>
      <w:r w:rsidR="00FF7464">
        <w:rPr>
          <w:rFonts w:cs="Times New Roman"/>
          <w:szCs w:val="24"/>
        </w:rPr>
        <w:t xml:space="preserve"> is a sparsely populated sub-Saharan African country with </w:t>
      </w:r>
      <w:r w:rsidR="00117B8C">
        <w:rPr>
          <w:rFonts w:cs="Times New Roman"/>
          <w:szCs w:val="24"/>
        </w:rPr>
        <w:t xml:space="preserve">less than </w:t>
      </w:r>
      <w:r w:rsidR="00A61822" w:rsidRPr="00B13197">
        <w:rPr>
          <w:rFonts w:cs="Times New Roman"/>
          <w:szCs w:val="24"/>
        </w:rPr>
        <w:t xml:space="preserve">2.5 million inhabitants </w:t>
      </w:r>
      <w:r w:rsidR="00543F60" w:rsidRPr="00B13197">
        <w:rPr>
          <w:rFonts w:cs="Times New Roman"/>
          <w:szCs w:val="24"/>
        </w:rPr>
        <w:t xml:space="preserve">spread </w:t>
      </w:r>
      <w:r w:rsidR="00A61822" w:rsidRPr="00B13197">
        <w:rPr>
          <w:rFonts w:cs="Times New Roman"/>
          <w:szCs w:val="24"/>
        </w:rPr>
        <w:t>over</w:t>
      </w:r>
      <w:r w:rsidR="00117B8C">
        <w:rPr>
          <w:rFonts w:cs="Times New Roman"/>
          <w:szCs w:val="24"/>
        </w:rPr>
        <w:t xml:space="preserve"> 824,292 </w:t>
      </w:r>
      <w:r w:rsidR="00D34AC5">
        <w:rPr>
          <w:rFonts w:cs="Times New Roman"/>
          <w:szCs w:val="24"/>
        </w:rPr>
        <w:t>kilometers</w:t>
      </w:r>
      <w:r w:rsidR="00117B8C" w:rsidRPr="00B13197">
        <w:rPr>
          <w:rFonts w:cs="Times New Roman"/>
          <w:szCs w:val="24"/>
        </w:rPr>
        <w:t xml:space="preserve">. </w:t>
      </w:r>
      <w:r w:rsidRPr="00B13197">
        <w:rPr>
          <w:rFonts w:cs="Times New Roman"/>
          <w:szCs w:val="24"/>
        </w:rPr>
        <w:t xml:space="preserve">Namibia has one of the highest income inequality rates in the world, </w:t>
      </w:r>
      <w:r w:rsidR="00FF7464">
        <w:rPr>
          <w:rFonts w:cs="Times New Roman"/>
          <w:szCs w:val="24"/>
        </w:rPr>
        <w:t xml:space="preserve">in part due to </w:t>
      </w:r>
      <w:r w:rsidRPr="00B13197">
        <w:rPr>
          <w:rFonts w:cs="Times New Roman"/>
          <w:szCs w:val="24"/>
        </w:rPr>
        <w:t>the separation between urban and rural economies.</w:t>
      </w:r>
    </w:p>
    <w:p w14:paraId="300E403E" w14:textId="5EF1CFEB" w:rsidR="00C7039A" w:rsidRDefault="00117B8C" w:rsidP="00F76F5A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of 2013, only 16 percent </w:t>
      </w:r>
      <w:r w:rsidR="00A61822" w:rsidRPr="00B13197">
        <w:rPr>
          <w:rFonts w:cs="Times New Roman"/>
          <w:szCs w:val="24"/>
        </w:rPr>
        <w:t>of househo</w:t>
      </w:r>
      <w:r w:rsidR="00543F60" w:rsidRPr="00B13197">
        <w:rPr>
          <w:rFonts w:cs="Times New Roman"/>
          <w:szCs w:val="24"/>
        </w:rPr>
        <w:t xml:space="preserve">lds had Internet access at </w:t>
      </w:r>
      <w:r w:rsidRPr="00B13197">
        <w:rPr>
          <w:rFonts w:cs="Times New Roman"/>
          <w:szCs w:val="24"/>
        </w:rPr>
        <w:t>home, which</w:t>
      </w:r>
      <w:r w:rsidR="00543F60" w:rsidRPr="00B13197">
        <w:rPr>
          <w:rFonts w:cs="Times New Roman"/>
          <w:szCs w:val="24"/>
        </w:rPr>
        <w:t xml:space="preserve"> translates to slightly more than 40,000 </w:t>
      </w:r>
      <w:r>
        <w:rPr>
          <w:rFonts w:cs="Times New Roman"/>
          <w:szCs w:val="24"/>
        </w:rPr>
        <w:t xml:space="preserve">asynchronous digital subscriber line (ADSL) </w:t>
      </w:r>
      <w:r w:rsidR="00543F60" w:rsidRPr="00B13197">
        <w:rPr>
          <w:rFonts w:cs="Times New Roman"/>
          <w:szCs w:val="24"/>
        </w:rPr>
        <w:t>connections countrywide.</w:t>
      </w:r>
      <w:r w:rsidR="0056314B">
        <w:rPr>
          <w:rFonts w:cs="Times New Roman"/>
          <w:szCs w:val="24"/>
        </w:rPr>
        <w:t xml:space="preserve"> </w:t>
      </w:r>
      <w:r w:rsidR="00A61822" w:rsidRPr="00B13197">
        <w:rPr>
          <w:rFonts w:cs="Times New Roman"/>
          <w:szCs w:val="24"/>
        </w:rPr>
        <w:t xml:space="preserve">This connectivity </w:t>
      </w:r>
      <w:r w:rsidR="00FF7464">
        <w:rPr>
          <w:rFonts w:cs="Times New Roman"/>
          <w:szCs w:val="24"/>
        </w:rPr>
        <w:t>is</w:t>
      </w:r>
      <w:r w:rsidR="00543F60" w:rsidRPr="00B13197">
        <w:rPr>
          <w:rFonts w:cs="Times New Roman"/>
          <w:szCs w:val="24"/>
        </w:rPr>
        <w:t xml:space="preserve"> centered in urban areas;</w:t>
      </w:r>
      <w:r w:rsidR="00A61822" w:rsidRPr="00B13197">
        <w:rPr>
          <w:rFonts w:cs="Times New Roman"/>
          <w:szCs w:val="24"/>
        </w:rPr>
        <w:t xml:space="preserve"> </w:t>
      </w:r>
      <w:r w:rsidR="0056314B">
        <w:rPr>
          <w:rFonts w:cs="Times New Roman"/>
          <w:szCs w:val="24"/>
        </w:rPr>
        <w:t xml:space="preserve">neither </w:t>
      </w:r>
      <w:r w:rsidR="0056314B" w:rsidRPr="00B13197">
        <w:rPr>
          <w:rFonts w:cs="Times New Roman"/>
          <w:szCs w:val="24"/>
        </w:rPr>
        <w:t xml:space="preserve">broadband </w:t>
      </w:r>
      <w:r w:rsidR="0056314B">
        <w:rPr>
          <w:rFonts w:cs="Times New Roman"/>
          <w:szCs w:val="24"/>
        </w:rPr>
        <w:t xml:space="preserve">nor </w:t>
      </w:r>
      <w:r w:rsidR="00FF7464">
        <w:rPr>
          <w:rFonts w:cs="Times New Roman"/>
          <w:szCs w:val="24"/>
        </w:rPr>
        <w:t>mobile networks serve vast portions in</w:t>
      </w:r>
      <w:r w:rsidR="0056314B" w:rsidRPr="00B13197">
        <w:rPr>
          <w:rFonts w:cs="Times New Roman"/>
          <w:szCs w:val="24"/>
        </w:rPr>
        <w:t xml:space="preserve"> rural areas</w:t>
      </w:r>
      <w:r w:rsidR="0056314B">
        <w:rPr>
          <w:rFonts w:cs="Times New Roman"/>
          <w:szCs w:val="24"/>
        </w:rPr>
        <w:t xml:space="preserve">. </w:t>
      </w:r>
      <w:r w:rsidR="00FF7464">
        <w:rPr>
          <w:rFonts w:cs="Times New Roman"/>
          <w:szCs w:val="24"/>
        </w:rPr>
        <w:t xml:space="preserve">Where available, </w:t>
      </w:r>
      <w:r w:rsidR="00A61822" w:rsidRPr="00B13197">
        <w:rPr>
          <w:rFonts w:cs="Times New Roman"/>
          <w:szCs w:val="24"/>
        </w:rPr>
        <w:t>broadband is u</w:t>
      </w:r>
      <w:r w:rsidR="00FF7464">
        <w:rPr>
          <w:rFonts w:cs="Times New Roman"/>
          <w:szCs w:val="24"/>
        </w:rPr>
        <w:t>naffordable to approximately 40 percent</w:t>
      </w:r>
      <w:r w:rsidR="00A61822" w:rsidRPr="00B13197">
        <w:rPr>
          <w:rFonts w:cs="Times New Roman"/>
          <w:szCs w:val="24"/>
        </w:rPr>
        <w:t xml:space="preserve"> of Namibians.</w:t>
      </w:r>
      <w:r w:rsidR="00543F60" w:rsidRPr="00B13197">
        <w:rPr>
          <w:rFonts w:cs="Times New Roman"/>
          <w:szCs w:val="24"/>
        </w:rPr>
        <w:t xml:space="preserve"> Comparing figures between 2013 and 2014, this financial inaccessibility explains </w:t>
      </w:r>
      <w:r w:rsidR="007E6EB6">
        <w:rPr>
          <w:rFonts w:cs="Times New Roman"/>
          <w:szCs w:val="24"/>
        </w:rPr>
        <w:t>why I</w:t>
      </w:r>
      <w:r w:rsidR="00543F60" w:rsidRPr="00B13197">
        <w:rPr>
          <w:rFonts w:cs="Times New Roman"/>
          <w:szCs w:val="24"/>
        </w:rPr>
        <w:t>nternet penetration in the country seems to be plateauing.</w:t>
      </w:r>
      <w:r w:rsidR="00FF7464">
        <w:rPr>
          <w:rFonts w:cs="Times New Roman"/>
          <w:szCs w:val="24"/>
        </w:rPr>
        <w:t xml:space="preserve"> </w:t>
      </w:r>
      <w:r w:rsidR="00543F60" w:rsidRPr="00B13197">
        <w:rPr>
          <w:rFonts w:cs="Times New Roman"/>
          <w:szCs w:val="24"/>
        </w:rPr>
        <w:t xml:space="preserve">In a comparison between Namibia and other South African Development Community (SADC) nations’ </w:t>
      </w:r>
      <w:r w:rsidRPr="00B13197">
        <w:rPr>
          <w:rFonts w:cs="Times New Roman"/>
          <w:szCs w:val="24"/>
        </w:rPr>
        <w:t>Internet</w:t>
      </w:r>
      <w:r w:rsidR="00543F60" w:rsidRPr="00B13197">
        <w:rPr>
          <w:rFonts w:cs="Times New Roman"/>
          <w:szCs w:val="24"/>
        </w:rPr>
        <w:t xml:space="preserve"> pen</w:t>
      </w:r>
      <w:r w:rsidR="007E6EB6">
        <w:rPr>
          <w:rFonts w:cs="Times New Roman"/>
          <w:szCs w:val="24"/>
        </w:rPr>
        <w:t>etration, Namibia ranks 10</w:t>
      </w:r>
      <w:r w:rsidR="007E6EB6" w:rsidRPr="007E6EB6">
        <w:rPr>
          <w:rFonts w:cs="Times New Roman"/>
          <w:szCs w:val="24"/>
          <w:vertAlign w:val="superscript"/>
        </w:rPr>
        <w:t>th</w:t>
      </w:r>
      <w:r w:rsidR="00FF7464">
        <w:rPr>
          <w:rFonts w:cs="Times New Roman"/>
          <w:szCs w:val="24"/>
        </w:rPr>
        <w:t xml:space="preserve">, trailing </w:t>
      </w:r>
      <w:r w:rsidR="00543F60" w:rsidRPr="00B13197">
        <w:rPr>
          <w:rFonts w:cs="Times New Roman"/>
          <w:szCs w:val="24"/>
        </w:rPr>
        <w:t>co</w:t>
      </w:r>
      <w:r w:rsidR="00FF7464">
        <w:rPr>
          <w:rFonts w:cs="Times New Roman"/>
          <w:szCs w:val="24"/>
        </w:rPr>
        <w:t>untries with half its per capita income.</w:t>
      </w:r>
    </w:p>
    <w:p w14:paraId="7DC25238" w14:textId="77777777" w:rsidR="00D7088B" w:rsidRPr="00B13197" w:rsidRDefault="00D7088B" w:rsidP="00F76F5A">
      <w:pPr>
        <w:jc w:val="both"/>
        <w:rPr>
          <w:rFonts w:cs="Times New Roman"/>
          <w:szCs w:val="24"/>
        </w:rPr>
      </w:pPr>
    </w:p>
    <w:tbl>
      <w:tblPr>
        <w:tblStyle w:val="GridTable6Colorful2"/>
        <w:tblW w:w="0" w:type="auto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1656"/>
        <w:gridCol w:w="2844"/>
        <w:gridCol w:w="1748"/>
      </w:tblGrid>
      <w:tr w:rsidR="00286CB9" w:rsidRPr="00B13197" w14:paraId="66FD389C" w14:textId="77777777" w:rsidTr="0009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26034866" w14:textId="7D85E4DF" w:rsidR="00286CB9" w:rsidRPr="00B13197" w:rsidRDefault="00003454" w:rsidP="00F76F5A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B13197">
              <w:rPr>
                <w:rFonts w:cs="Times New Roman"/>
                <w:color w:val="000000"/>
                <w:sz w:val="24"/>
                <w:szCs w:val="24"/>
                <w:lang w:eastAsia="en-US"/>
              </w:rPr>
              <w:t>Namibia</w:t>
            </w:r>
          </w:p>
        </w:tc>
      </w:tr>
      <w:tr w:rsidR="0047094F" w:rsidRPr="00B13197" w14:paraId="4408B1D6" w14:textId="77777777" w:rsidTr="0009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auto"/>
            <w:vAlign w:val="center"/>
          </w:tcPr>
          <w:p w14:paraId="1591ACAA" w14:textId="77777777" w:rsidR="0047094F" w:rsidRPr="0047094F" w:rsidRDefault="0047094F" w:rsidP="00F76F5A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sz w:val="24"/>
                <w:lang w:eastAsia="en-US"/>
              </w:rPr>
            </w:pPr>
            <w:r w:rsidRPr="0047094F">
              <w:rPr>
                <w:rFonts w:ascii="Times New Roman" w:hAnsi="Times New Roman" w:cs="Times New Roman"/>
                <w:sz w:val="24"/>
                <w:lang w:eastAsia="en-US"/>
              </w:rPr>
              <w:t>Population</w:t>
            </w:r>
          </w:p>
          <w:p w14:paraId="1B71A46C" w14:textId="1099BD64" w:rsidR="0047094F" w:rsidRPr="0047094F" w:rsidRDefault="0047094F" w:rsidP="00F76F5A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7094F">
              <w:rPr>
                <w:rFonts w:ascii="Times New Roman" w:hAnsi="Times New Roman" w:cs="Times New Roman"/>
                <w:sz w:val="24"/>
                <w:lang w:eastAsia="en-US"/>
              </w:rPr>
              <w:t>(UN, 2015)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71BD7E5A" w14:textId="3B0F65B6" w:rsidR="0047094F" w:rsidRPr="00B13197" w:rsidRDefault="0047094F" w:rsidP="00F76F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47094F">
              <w:rPr>
                <w:rFonts w:cs="Times New Roman"/>
                <w:color w:val="000000"/>
                <w:sz w:val="24"/>
                <w:szCs w:val="24"/>
                <w:lang w:eastAsia="en-US"/>
              </w:rPr>
              <w:t>2,392,370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387B3332" w14:textId="77777777" w:rsidR="0047094F" w:rsidRPr="0047094F" w:rsidRDefault="0047094F" w:rsidP="00F76F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eastAsia="en-US"/>
              </w:rPr>
            </w:pPr>
            <w:r w:rsidRPr="0047094F">
              <w:rPr>
                <w:rFonts w:ascii="Times New Roman" w:hAnsi="Times New Roman" w:cs="Times New Roman"/>
                <w:b/>
                <w:sz w:val="24"/>
                <w:lang w:eastAsia="en-US"/>
              </w:rPr>
              <w:t>Fixed broadband subscriptions (%)</w:t>
            </w:r>
          </w:p>
          <w:p w14:paraId="0DA5289A" w14:textId="6967E36C" w:rsidR="0047094F" w:rsidRPr="0047094F" w:rsidRDefault="0047094F" w:rsidP="00F76F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7094F">
              <w:rPr>
                <w:rFonts w:ascii="Times New Roman" w:hAnsi="Times New Roman" w:cs="Times New Roman"/>
                <w:b/>
                <w:sz w:val="24"/>
                <w:lang w:eastAsia="en-US"/>
              </w:rPr>
              <w:t>(ITU, 2016)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1413509F" w14:textId="5F7F34AE" w:rsidR="0047094F" w:rsidRPr="003105F2" w:rsidRDefault="0047094F" w:rsidP="00F76F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3105F2">
              <w:rPr>
                <w:rFonts w:cs="Times New Roman"/>
                <w:color w:val="000000"/>
                <w:sz w:val="24"/>
                <w:szCs w:val="24"/>
                <w:lang w:eastAsia="en-US"/>
              </w:rPr>
              <w:t>2.19</w:t>
            </w:r>
          </w:p>
        </w:tc>
      </w:tr>
      <w:tr w:rsidR="0047094F" w:rsidRPr="00B13197" w14:paraId="56A58C6A" w14:textId="77777777" w:rsidTr="000959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auto"/>
            <w:vAlign w:val="center"/>
          </w:tcPr>
          <w:p w14:paraId="202CFD93" w14:textId="77777777" w:rsidR="0047094F" w:rsidRPr="0047094F" w:rsidRDefault="0047094F" w:rsidP="00F76F5A">
            <w:pPr>
              <w:pStyle w:val="NoSpacing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lang w:eastAsia="en-US"/>
              </w:rPr>
            </w:pPr>
            <w:r w:rsidRPr="0047094F">
              <w:rPr>
                <w:rFonts w:ascii="Times New Roman" w:eastAsia="Times New Roman" w:hAnsi="Times New Roman" w:cs="Times New Roman"/>
                <w:sz w:val="24"/>
                <w:lang w:eastAsia="en-US"/>
              </w:rPr>
              <w:t>Population density</w:t>
            </w:r>
          </w:p>
          <w:p w14:paraId="7908B076" w14:textId="77777777" w:rsidR="0047094F" w:rsidRPr="0047094F" w:rsidRDefault="0047094F" w:rsidP="00F76F5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1"/>
                <w:lang w:eastAsia="en-US"/>
              </w:rPr>
            </w:pPr>
            <w:r w:rsidRPr="0047094F">
              <w:rPr>
                <w:rFonts w:ascii="Times New Roman" w:eastAsia="Times New Roman" w:hAnsi="Times New Roman" w:cs="Times New Roman"/>
                <w:sz w:val="24"/>
                <w:lang w:eastAsia="en-US"/>
              </w:rPr>
              <w:t>(people per sq.km)</w:t>
            </w:r>
          </w:p>
          <w:p w14:paraId="1C9B42EC" w14:textId="5D66AAAF" w:rsidR="0047094F" w:rsidRPr="0047094F" w:rsidRDefault="0047094F" w:rsidP="00F76F5A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7094F">
              <w:rPr>
                <w:rFonts w:ascii="Times New Roman" w:eastAsia="Times New Roman" w:hAnsi="Times New Roman" w:cs="Times New Roman"/>
                <w:sz w:val="24"/>
                <w:lang w:eastAsia="en-US"/>
              </w:rPr>
              <w:t>(UN, 2015)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0B632BF5" w14:textId="7FE70F13" w:rsidR="0047094F" w:rsidRPr="00B13197" w:rsidRDefault="0047094F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47094F">
              <w:rPr>
                <w:rFonts w:cs="Times New Roman"/>
                <w:color w:val="000000"/>
                <w:sz w:val="24"/>
                <w:szCs w:val="24"/>
                <w:lang w:eastAsia="en-US"/>
              </w:rPr>
              <w:t>2.9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18FFC936" w14:textId="77777777" w:rsidR="0047094F" w:rsidRPr="0047094F" w:rsidRDefault="0047094F" w:rsidP="00F76F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eastAsia="en-US"/>
              </w:rPr>
            </w:pPr>
            <w:r w:rsidRPr="0047094F">
              <w:rPr>
                <w:rFonts w:ascii="Times New Roman" w:hAnsi="Times New Roman" w:cs="Times New Roman"/>
                <w:b/>
                <w:sz w:val="24"/>
                <w:lang w:eastAsia="en-US"/>
              </w:rPr>
              <w:t>Mobile cellular subscriptions (%)</w:t>
            </w:r>
          </w:p>
          <w:p w14:paraId="769A0FC5" w14:textId="27D6DA96" w:rsidR="0047094F" w:rsidRPr="0047094F" w:rsidRDefault="0047094F" w:rsidP="00F76F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7094F">
              <w:rPr>
                <w:rFonts w:ascii="Times New Roman" w:hAnsi="Times New Roman" w:cs="Times New Roman"/>
                <w:b/>
                <w:sz w:val="24"/>
                <w:lang w:eastAsia="en-US"/>
              </w:rPr>
              <w:t>(ITU, 2016)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0F5BFA7F" w14:textId="2A2CF2C9" w:rsidR="0047094F" w:rsidRPr="00B13197" w:rsidRDefault="003105F2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3105F2">
              <w:rPr>
                <w:rFonts w:cs="Times New Roman"/>
                <w:color w:val="000000"/>
                <w:sz w:val="24"/>
                <w:szCs w:val="24"/>
                <w:lang w:eastAsia="en-US"/>
              </w:rPr>
              <w:t>109.18</w:t>
            </w:r>
          </w:p>
        </w:tc>
      </w:tr>
      <w:tr w:rsidR="0047094F" w:rsidRPr="00B13197" w14:paraId="3FF12CD9" w14:textId="77777777" w:rsidTr="0009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auto"/>
            <w:vAlign w:val="center"/>
          </w:tcPr>
          <w:p w14:paraId="3BED98CD" w14:textId="77777777" w:rsidR="0047094F" w:rsidRPr="0047094F" w:rsidRDefault="0047094F" w:rsidP="00F76F5A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24"/>
                <w:szCs w:val="21"/>
                <w:lang w:eastAsia="en-US"/>
              </w:rPr>
            </w:pPr>
            <w:r w:rsidRPr="0047094F">
              <w:rPr>
                <w:rFonts w:ascii="Times New Roman" w:eastAsia="Times New Roman" w:hAnsi="Times New Roman" w:cs="Times New Roman"/>
                <w:sz w:val="24"/>
                <w:lang w:eastAsia="en-US"/>
              </w:rPr>
              <w:t>Median household income</w:t>
            </w:r>
          </w:p>
          <w:p w14:paraId="280893C7" w14:textId="250BCA2A" w:rsidR="0047094F" w:rsidRPr="0047094F" w:rsidRDefault="0047094F" w:rsidP="00F76F5A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47094F">
              <w:rPr>
                <w:rFonts w:ascii="Times New Roman" w:eastAsia="Times New Roman" w:hAnsi="Times New Roman" w:cs="Times New Roman"/>
                <w:sz w:val="24"/>
                <w:lang w:eastAsia="en-US"/>
              </w:rPr>
              <w:t>(Gallup, 2006-2012)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6C1A07E4" w14:textId="1983371E" w:rsidR="0047094F" w:rsidRPr="00B13197" w:rsidRDefault="0047094F" w:rsidP="00F76F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eastAsia="en-US"/>
              </w:rPr>
              <w:t>N/A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3D899069" w14:textId="77777777" w:rsidR="0047094F" w:rsidRPr="0047094F" w:rsidRDefault="0047094F" w:rsidP="00F76F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7094F">
              <w:rPr>
                <w:rFonts w:ascii="Times New Roman" w:hAnsi="Times New Roman" w:cs="Times New Roman"/>
                <w:b/>
                <w:sz w:val="24"/>
              </w:rPr>
              <w:t>Individuals using the Internet (%)</w:t>
            </w:r>
          </w:p>
          <w:p w14:paraId="3DADA46C" w14:textId="6175E888" w:rsidR="0047094F" w:rsidRPr="0047094F" w:rsidRDefault="0047094F" w:rsidP="00F76F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7094F">
              <w:rPr>
                <w:rFonts w:ascii="Times New Roman" w:hAnsi="Times New Roman" w:cs="Times New Roman"/>
                <w:b/>
                <w:sz w:val="24"/>
              </w:rPr>
              <w:t>(ITU, 2016)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989A0F8" w14:textId="0EA9E097" w:rsidR="0047094F" w:rsidRPr="00B13197" w:rsidRDefault="003105F2" w:rsidP="00F76F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3105F2">
              <w:rPr>
                <w:rFonts w:cs="Times New Roman"/>
                <w:color w:val="000000"/>
                <w:sz w:val="24"/>
                <w:szCs w:val="24"/>
                <w:lang w:eastAsia="en-US"/>
              </w:rPr>
              <w:t>31</w:t>
            </w:r>
          </w:p>
        </w:tc>
      </w:tr>
      <w:tr w:rsidR="0047094F" w:rsidRPr="00B13197" w14:paraId="68F8D721" w14:textId="77777777" w:rsidTr="000959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shd w:val="clear" w:color="auto" w:fill="auto"/>
            <w:vAlign w:val="center"/>
          </w:tcPr>
          <w:p w14:paraId="4596A1E8" w14:textId="77777777" w:rsidR="0047094F" w:rsidRPr="0047094F" w:rsidRDefault="0047094F" w:rsidP="00F76F5A">
            <w:pPr>
              <w:pStyle w:val="NoSpacing"/>
              <w:jc w:val="center"/>
              <w:rPr>
                <w:rFonts w:ascii="Times New Roman" w:hAnsi="Times New Roman" w:cs="Times New Roman"/>
                <w:bCs w:val="0"/>
                <w:sz w:val="24"/>
              </w:rPr>
            </w:pPr>
            <w:r w:rsidRPr="0047094F">
              <w:rPr>
                <w:rFonts w:ascii="Times New Roman" w:hAnsi="Times New Roman" w:cs="Times New Roman"/>
                <w:sz w:val="24"/>
              </w:rPr>
              <w:t>Education</w:t>
            </w:r>
          </w:p>
          <w:p w14:paraId="77CA8A1B" w14:textId="77777777" w:rsidR="0047094F" w:rsidRDefault="0047094F" w:rsidP="00F76F5A">
            <w:pPr>
              <w:pStyle w:val="NoSpacing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47094F">
              <w:rPr>
                <w:rFonts w:ascii="Times New Roman" w:hAnsi="Times New Roman" w:cs="Times New Roman"/>
                <w:sz w:val="24"/>
              </w:rPr>
              <w:t xml:space="preserve">(Mean years of schooling) </w:t>
            </w:r>
          </w:p>
          <w:p w14:paraId="22526A1C" w14:textId="6A7724C5" w:rsidR="0047094F" w:rsidRPr="0047094F" w:rsidRDefault="0047094F" w:rsidP="00F76F5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094F">
              <w:rPr>
                <w:rFonts w:ascii="Times New Roman" w:hAnsi="Times New Roman" w:cs="Times New Roman"/>
                <w:sz w:val="24"/>
              </w:rPr>
              <w:t>(UNDP, 2013)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A70B642" w14:textId="77777777" w:rsidR="0047094F" w:rsidRPr="0047094F" w:rsidRDefault="0047094F" w:rsidP="00F76F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47094F">
              <w:rPr>
                <w:rFonts w:ascii="Times New Roman" w:hAnsi="Times New Roman" w:cs="Times New Roman"/>
                <w:sz w:val="24"/>
                <w:lang w:eastAsia="en-US"/>
              </w:rPr>
              <w:t>Male: 6.1</w:t>
            </w:r>
          </w:p>
          <w:p w14:paraId="4EBD6F84" w14:textId="310CE1D0" w:rsidR="0047094F" w:rsidRPr="00B13197" w:rsidRDefault="0047094F" w:rsidP="00F76F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47094F">
              <w:rPr>
                <w:rFonts w:ascii="Times New Roman" w:hAnsi="Times New Roman" w:cs="Times New Roman"/>
                <w:sz w:val="24"/>
                <w:lang w:eastAsia="en-US"/>
              </w:rPr>
              <w:t>Female: 6.3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546BEF65" w14:textId="0E8F3C05" w:rsidR="0047094F" w:rsidRPr="0047094F" w:rsidRDefault="0047094F" w:rsidP="00F76F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47094F">
              <w:rPr>
                <w:rFonts w:ascii="Times New Roman" w:hAnsi="Times New Roman" w:cs="Times New Roman"/>
                <w:b/>
                <w:sz w:val="24"/>
              </w:rPr>
              <w:t>Individuals using the Internet by Gender (%) (ITU, 2016)</w:t>
            </w:r>
          </w:p>
        </w:tc>
        <w:tc>
          <w:tcPr>
            <w:tcW w:w="1748" w:type="dxa"/>
            <w:shd w:val="clear" w:color="auto" w:fill="auto"/>
            <w:vAlign w:val="center"/>
          </w:tcPr>
          <w:p w14:paraId="4BCBEABB" w14:textId="4608481E" w:rsidR="0047094F" w:rsidRPr="00B13197" w:rsidRDefault="003105F2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eastAsia="en-US"/>
              </w:rPr>
              <w:t>N/A</w:t>
            </w:r>
          </w:p>
        </w:tc>
      </w:tr>
    </w:tbl>
    <w:p w14:paraId="71ED5EA5" w14:textId="7CF9C412" w:rsidR="00286CB9" w:rsidRPr="00B13197" w:rsidRDefault="00EE1E6E" w:rsidP="00F76F5A">
      <w:pPr>
        <w:pStyle w:val="Heading1"/>
        <w:rPr>
          <w:b/>
        </w:rPr>
      </w:pPr>
      <w:r w:rsidRPr="00B13197">
        <w:t>Project description</w:t>
      </w:r>
    </w:p>
    <w:p w14:paraId="4DCD409C" w14:textId="77777777" w:rsidR="00F76F5A" w:rsidRDefault="009D4DB6" w:rsidP="00F76F5A">
      <w:pPr>
        <w:spacing w:after="0"/>
        <w:jc w:val="both"/>
        <w:rPr>
          <w:rFonts w:cs="Times New Roman"/>
          <w:szCs w:val="24"/>
        </w:rPr>
      </w:pPr>
      <w:r w:rsidRPr="00B13197">
        <w:rPr>
          <w:rFonts w:cs="Times New Roman"/>
          <w:szCs w:val="24"/>
        </w:rPr>
        <w:t xml:space="preserve">In 2014, </w:t>
      </w:r>
      <w:r w:rsidR="00A931B9" w:rsidRPr="00B13197">
        <w:rPr>
          <w:rFonts w:cs="Times New Roman"/>
          <w:szCs w:val="24"/>
        </w:rPr>
        <w:t xml:space="preserve">My Digital Bridge Foundation </w:t>
      </w:r>
      <w:r w:rsidR="00A931B9">
        <w:rPr>
          <w:rFonts w:cs="Times New Roman"/>
          <w:szCs w:val="24"/>
        </w:rPr>
        <w:t>launched a</w:t>
      </w:r>
      <w:r w:rsidRPr="00B13197">
        <w:rPr>
          <w:rFonts w:cs="Times New Roman"/>
          <w:szCs w:val="24"/>
        </w:rPr>
        <w:t xml:space="preserve"> pilot program </w:t>
      </w:r>
      <w:r w:rsidR="00A931B9">
        <w:rPr>
          <w:rFonts w:cs="Times New Roman"/>
          <w:szCs w:val="24"/>
        </w:rPr>
        <w:t>c</w:t>
      </w:r>
      <w:r w:rsidR="00D960A5">
        <w:rPr>
          <w:rFonts w:cs="Times New Roman"/>
          <w:szCs w:val="24"/>
        </w:rPr>
        <w:t xml:space="preserve">alled </w:t>
      </w:r>
      <w:r w:rsidR="00A931B9" w:rsidRPr="00B13197">
        <w:rPr>
          <w:rFonts w:cs="Times New Roman"/>
          <w:szCs w:val="24"/>
        </w:rPr>
        <w:t>Citizen Connect</w:t>
      </w:r>
      <w:r w:rsidR="00A931B9">
        <w:rPr>
          <w:rFonts w:cs="Times New Roman"/>
          <w:szCs w:val="24"/>
        </w:rPr>
        <w:t xml:space="preserve"> that</w:t>
      </w:r>
      <w:r w:rsidRPr="00B13197">
        <w:rPr>
          <w:rFonts w:cs="Times New Roman"/>
          <w:szCs w:val="24"/>
        </w:rPr>
        <w:t xml:space="preserve"> use</w:t>
      </w:r>
      <w:r w:rsidR="00A931B9">
        <w:rPr>
          <w:rFonts w:cs="Times New Roman"/>
          <w:szCs w:val="24"/>
        </w:rPr>
        <w:t>s</w:t>
      </w:r>
      <w:r w:rsidRPr="00B13197">
        <w:rPr>
          <w:rFonts w:cs="Times New Roman"/>
          <w:szCs w:val="24"/>
        </w:rPr>
        <w:t xml:space="preserve"> TVWS to offer connectivity to rural schools in three northern Namibian regional </w:t>
      </w:r>
      <w:r w:rsidRPr="00B13197">
        <w:rPr>
          <w:rFonts w:cs="Times New Roman"/>
          <w:szCs w:val="24"/>
        </w:rPr>
        <w:lastRenderedPageBreak/>
        <w:t xml:space="preserve">councils </w:t>
      </w:r>
      <w:r w:rsidR="00A931B9">
        <w:rPr>
          <w:rFonts w:cs="Times New Roman"/>
          <w:szCs w:val="24"/>
        </w:rPr>
        <w:t>–</w:t>
      </w:r>
      <w:r w:rsidRPr="00B13197">
        <w:rPr>
          <w:rFonts w:cs="Times New Roman"/>
          <w:szCs w:val="24"/>
        </w:rPr>
        <w:t xml:space="preserve"> O</w:t>
      </w:r>
      <w:r w:rsidR="00A931B9">
        <w:rPr>
          <w:rFonts w:cs="Times New Roman"/>
          <w:szCs w:val="24"/>
        </w:rPr>
        <w:t xml:space="preserve">shana, </w:t>
      </w:r>
      <w:proofErr w:type="spellStart"/>
      <w:r w:rsidR="00A931B9">
        <w:rPr>
          <w:rFonts w:cs="Times New Roman"/>
          <w:szCs w:val="24"/>
        </w:rPr>
        <w:t>Ohangwena</w:t>
      </w:r>
      <w:proofErr w:type="spellEnd"/>
      <w:r w:rsidR="00A931B9">
        <w:rPr>
          <w:rFonts w:cs="Times New Roman"/>
          <w:szCs w:val="24"/>
        </w:rPr>
        <w:t xml:space="preserve">, and </w:t>
      </w:r>
      <w:proofErr w:type="spellStart"/>
      <w:r w:rsidR="00A931B9">
        <w:rPr>
          <w:rFonts w:cs="Times New Roman"/>
          <w:szCs w:val="24"/>
        </w:rPr>
        <w:t>Omusati</w:t>
      </w:r>
      <w:proofErr w:type="spellEnd"/>
      <w:r w:rsidR="00A931B9">
        <w:rPr>
          <w:rFonts w:cs="Times New Roman"/>
          <w:szCs w:val="24"/>
        </w:rPr>
        <w:t xml:space="preserve">. </w:t>
      </w:r>
      <w:r w:rsidR="00590513">
        <w:rPr>
          <w:rFonts w:cs="Times New Roman"/>
          <w:szCs w:val="24"/>
        </w:rPr>
        <w:t>The project is supported by</w:t>
      </w:r>
      <w:r w:rsidRPr="00B13197">
        <w:rPr>
          <w:rFonts w:cs="Times New Roman"/>
          <w:szCs w:val="24"/>
        </w:rPr>
        <w:t xml:space="preserve"> partnerships </w:t>
      </w:r>
      <w:r w:rsidR="00590513">
        <w:rPr>
          <w:rFonts w:cs="Times New Roman"/>
          <w:szCs w:val="24"/>
        </w:rPr>
        <w:t>with</w:t>
      </w:r>
      <w:r w:rsidRPr="00B13197">
        <w:rPr>
          <w:rFonts w:cs="Times New Roman"/>
          <w:szCs w:val="24"/>
        </w:rPr>
        <w:t xml:space="preserve"> Microsoft (under its 4Afrika Initiative) and </w:t>
      </w:r>
      <w:proofErr w:type="spellStart"/>
      <w:r w:rsidRPr="00B13197">
        <w:rPr>
          <w:rFonts w:cs="Times New Roman"/>
          <w:szCs w:val="24"/>
        </w:rPr>
        <w:t>Adaptrum</w:t>
      </w:r>
      <w:proofErr w:type="spellEnd"/>
      <w:r w:rsidRPr="00B13197">
        <w:rPr>
          <w:rFonts w:cs="Times New Roman"/>
          <w:szCs w:val="24"/>
        </w:rPr>
        <w:t xml:space="preserve">, </w:t>
      </w:r>
      <w:r w:rsidR="00017343">
        <w:rPr>
          <w:rFonts w:cs="Times New Roman"/>
          <w:szCs w:val="24"/>
        </w:rPr>
        <w:t xml:space="preserve">as well as </w:t>
      </w:r>
      <w:r w:rsidRPr="00B13197">
        <w:rPr>
          <w:rFonts w:cs="Times New Roman"/>
          <w:szCs w:val="24"/>
        </w:rPr>
        <w:t xml:space="preserve">the </w:t>
      </w:r>
      <w:r w:rsidR="00444FCC" w:rsidRPr="00B13197">
        <w:rPr>
          <w:rFonts w:cs="Times New Roman"/>
          <w:szCs w:val="24"/>
        </w:rPr>
        <w:t>Millennium</w:t>
      </w:r>
      <w:r w:rsidRPr="00B13197">
        <w:rPr>
          <w:rFonts w:cs="Times New Roman"/>
          <w:szCs w:val="24"/>
        </w:rPr>
        <w:t xml:space="preserve"> Challenge Corporation (MCC) and Millennium Challenge Account (MCA)-Namibia.</w:t>
      </w:r>
      <w:r w:rsidR="00590513">
        <w:rPr>
          <w:rFonts w:cs="Times New Roman"/>
          <w:szCs w:val="24"/>
        </w:rPr>
        <w:t xml:space="preserve"> </w:t>
      </w:r>
      <w:r w:rsidR="001C5B77" w:rsidRPr="00B13197">
        <w:rPr>
          <w:rFonts w:cs="Times New Roman"/>
          <w:szCs w:val="24"/>
        </w:rPr>
        <w:t>When it commenced, it was the largest TVWS project its t</w:t>
      </w:r>
      <w:r w:rsidR="00F76F5A">
        <w:rPr>
          <w:rFonts w:cs="Times New Roman"/>
          <w:szCs w:val="24"/>
        </w:rPr>
        <w:t>ime in terms of area coverage.</w:t>
      </w:r>
    </w:p>
    <w:p w14:paraId="606084DA" w14:textId="3A8A4700" w:rsidR="009D4DB6" w:rsidRDefault="00AD0676" w:rsidP="00F76F5A">
      <w:pPr>
        <w:spacing w:after="0"/>
        <w:jc w:val="both"/>
        <w:rPr>
          <w:rFonts w:cs="Times New Roman"/>
          <w:szCs w:val="24"/>
        </w:rPr>
      </w:pPr>
      <w:r w:rsidRPr="00B13197">
        <w:rPr>
          <w:rFonts w:cs="Times New Roman"/>
          <w:szCs w:val="24"/>
        </w:rPr>
        <w:t xml:space="preserve">The project employed TVWS supported by traditional </w:t>
      </w:r>
      <w:r w:rsidR="00590513" w:rsidRPr="00B13197">
        <w:rPr>
          <w:rFonts w:cs="Times New Roman"/>
          <w:szCs w:val="24"/>
        </w:rPr>
        <w:t>5</w:t>
      </w:r>
      <w:r w:rsidR="00017343">
        <w:rPr>
          <w:rFonts w:cs="Times New Roman"/>
          <w:szCs w:val="24"/>
        </w:rPr>
        <w:t xml:space="preserve"> </w:t>
      </w:r>
      <w:r w:rsidR="00590513">
        <w:rPr>
          <w:rFonts w:cs="Times New Roman"/>
          <w:szCs w:val="24"/>
        </w:rPr>
        <w:t>gigahertz (</w:t>
      </w:r>
      <w:r w:rsidRPr="00B13197">
        <w:rPr>
          <w:rFonts w:cs="Times New Roman"/>
          <w:szCs w:val="24"/>
        </w:rPr>
        <w:t>GHz</w:t>
      </w:r>
      <w:r w:rsidR="00590513">
        <w:rPr>
          <w:rFonts w:cs="Times New Roman"/>
          <w:szCs w:val="24"/>
        </w:rPr>
        <w:t>) equipment and solar-</w:t>
      </w:r>
      <w:r w:rsidRPr="00B13197">
        <w:rPr>
          <w:rFonts w:cs="Times New Roman"/>
          <w:szCs w:val="24"/>
        </w:rPr>
        <w:t xml:space="preserve">powered base stations to offer </w:t>
      </w:r>
      <w:r w:rsidR="00590513">
        <w:rPr>
          <w:rFonts w:cs="Times New Roman"/>
          <w:szCs w:val="24"/>
        </w:rPr>
        <w:t xml:space="preserve">connectivity to rural schools. </w:t>
      </w:r>
      <w:r w:rsidRPr="00B13197">
        <w:rPr>
          <w:rFonts w:cs="Times New Roman"/>
          <w:szCs w:val="24"/>
        </w:rPr>
        <w:t xml:space="preserve">Originally, the project intended to include 23 rural schools and 10 of the educational </w:t>
      </w:r>
      <w:r w:rsidR="00444FCC" w:rsidRPr="00B13197">
        <w:rPr>
          <w:rFonts w:cs="Times New Roman"/>
          <w:szCs w:val="24"/>
        </w:rPr>
        <w:t>offices that</w:t>
      </w:r>
      <w:r w:rsidRPr="00B13197">
        <w:rPr>
          <w:rFonts w:cs="Times New Roman"/>
          <w:szCs w:val="24"/>
        </w:rPr>
        <w:t xml:space="preserve"> administer the schools</w:t>
      </w:r>
      <w:r w:rsidR="00117B8C" w:rsidRPr="00B13197">
        <w:rPr>
          <w:rFonts w:cs="Times New Roman"/>
          <w:szCs w:val="24"/>
        </w:rPr>
        <w:t xml:space="preserve">. </w:t>
      </w:r>
      <w:r w:rsidR="004E4BEB" w:rsidRPr="00B13197">
        <w:rPr>
          <w:rFonts w:cs="Times New Roman"/>
          <w:szCs w:val="24"/>
        </w:rPr>
        <w:t xml:space="preserve">Engagement with </w:t>
      </w:r>
      <w:r w:rsidR="00017343">
        <w:rPr>
          <w:rFonts w:cs="Times New Roman"/>
          <w:szCs w:val="24"/>
        </w:rPr>
        <w:t xml:space="preserve">beneficiaries </w:t>
      </w:r>
      <w:r w:rsidR="004E4BEB" w:rsidRPr="00B13197">
        <w:rPr>
          <w:rFonts w:cs="Times New Roman"/>
          <w:szCs w:val="24"/>
        </w:rPr>
        <w:t>was part of a diffusion strategy ado</w:t>
      </w:r>
      <w:r w:rsidR="00FB0AB3">
        <w:rPr>
          <w:rFonts w:cs="Times New Roman"/>
          <w:szCs w:val="24"/>
        </w:rPr>
        <w:t>pted to insure project success.</w:t>
      </w:r>
      <w:r w:rsidR="00017343">
        <w:rPr>
          <w:rFonts w:cs="Times New Roman"/>
          <w:szCs w:val="24"/>
        </w:rPr>
        <w:t xml:space="preserve"> This included</w:t>
      </w:r>
      <w:r w:rsidR="004E4BEB" w:rsidRPr="00B13197">
        <w:rPr>
          <w:rFonts w:cs="Times New Roman"/>
          <w:szCs w:val="24"/>
        </w:rPr>
        <w:t xml:space="preserve"> consulting with the beneficiaries, developing technological infrastructure, and training community members</w:t>
      </w:r>
      <w:r w:rsidR="00CE0405" w:rsidRPr="00B13197">
        <w:rPr>
          <w:rFonts w:cs="Times New Roman"/>
          <w:szCs w:val="24"/>
        </w:rPr>
        <w:t>,</w:t>
      </w:r>
      <w:r w:rsidR="004E4BEB" w:rsidRPr="00B13197">
        <w:rPr>
          <w:rFonts w:cs="Times New Roman"/>
          <w:szCs w:val="24"/>
        </w:rPr>
        <w:t xml:space="preserve"> such as teachers</w:t>
      </w:r>
      <w:r w:rsidR="00CE0405" w:rsidRPr="00B13197">
        <w:rPr>
          <w:rFonts w:cs="Times New Roman"/>
          <w:szCs w:val="24"/>
        </w:rPr>
        <w:t>,</w:t>
      </w:r>
      <w:r w:rsidR="004E4BEB" w:rsidRPr="00B13197">
        <w:rPr>
          <w:rFonts w:cs="Times New Roman"/>
          <w:szCs w:val="24"/>
        </w:rPr>
        <w:t xml:space="preserve"> in maintaining this infrastructure.</w:t>
      </w:r>
    </w:p>
    <w:p w14:paraId="65D2B09A" w14:textId="77777777" w:rsidR="00FC154E" w:rsidRDefault="00FC154E" w:rsidP="00F76F5A">
      <w:pPr>
        <w:spacing w:after="0"/>
        <w:jc w:val="both"/>
        <w:rPr>
          <w:rFonts w:cs="Times New Roman"/>
          <w:szCs w:val="24"/>
        </w:rPr>
      </w:pPr>
    </w:p>
    <w:p w14:paraId="4E4168DF" w14:textId="77777777" w:rsidR="0065158B" w:rsidRPr="0065158B" w:rsidRDefault="0065158B" w:rsidP="00F76F5A">
      <w:pPr>
        <w:spacing w:after="0"/>
        <w:jc w:val="both"/>
        <w:rPr>
          <w:rFonts w:cs="Times New Roman"/>
          <w:szCs w:val="24"/>
        </w:rPr>
      </w:pPr>
    </w:p>
    <w:tbl>
      <w:tblPr>
        <w:tblStyle w:val="GridTable6Colorful2"/>
        <w:tblW w:w="0" w:type="auto"/>
        <w:tblInd w:w="108" w:type="dxa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206"/>
        <w:gridCol w:w="2294"/>
        <w:gridCol w:w="1890"/>
        <w:gridCol w:w="2738"/>
      </w:tblGrid>
      <w:tr w:rsidR="00C7039A" w:rsidRPr="0065158B" w14:paraId="23CC625D" w14:textId="77777777" w:rsidTr="0009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8" w:type="dxa"/>
            <w:gridSpan w:val="4"/>
            <w:shd w:val="clear" w:color="auto" w:fill="auto"/>
            <w:vAlign w:val="center"/>
          </w:tcPr>
          <w:p w14:paraId="7423FDCC" w14:textId="05799CA7" w:rsidR="00C7039A" w:rsidRPr="0065158B" w:rsidRDefault="00444FCC" w:rsidP="00F76F5A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Project</w:t>
            </w:r>
            <w:r w:rsidR="00F76F5A">
              <w:rPr>
                <w:rFonts w:cs="Times New Roman"/>
                <w:color w:val="000000"/>
                <w:sz w:val="24"/>
                <w:szCs w:val="24"/>
                <w:lang w:eastAsia="en-US"/>
              </w:rPr>
              <w:t xml:space="preserve"> details</w:t>
            </w:r>
          </w:p>
        </w:tc>
      </w:tr>
      <w:tr w:rsidR="00C7039A" w:rsidRPr="0065158B" w14:paraId="1CF345D8" w14:textId="77777777" w:rsidTr="0009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shd w:val="clear" w:color="auto" w:fill="auto"/>
            <w:vAlign w:val="center"/>
          </w:tcPr>
          <w:p w14:paraId="078970D7" w14:textId="6C8AB241" w:rsidR="00C7039A" w:rsidRPr="0065158B" w:rsidRDefault="0093552C" w:rsidP="00F76F5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5158B">
              <w:rPr>
                <w:rFonts w:cs="Times New Roman"/>
                <w:sz w:val="24"/>
                <w:szCs w:val="24"/>
              </w:rPr>
              <w:t>Technology</w:t>
            </w:r>
          </w:p>
        </w:tc>
        <w:tc>
          <w:tcPr>
            <w:tcW w:w="2294" w:type="dxa"/>
            <w:shd w:val="clear" w:color="auto" w:fill="auto"/>
            <w:vAlign w:val="center"/>
          </w:tcPr>
          <w:p w14:paraId="3EBAA493" w14:textId="0F86C23A" w:rsidR="00F8451B" w:rsidRPr="0065158B" w:rsidRDefault="00296F12" w:rsidP="00F76F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TV White S</w:t>
            </w:r>
            <w:r w:rsidR="00444FCC"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pace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9486549" w14:textId="38802BEA" w:rsidR="00C7039A" w:rsidRPr="0065158B" w:rsidRDefault="00C7039A" w:rsidP="00F76F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65158B">
              <w:rPr>
                <w:rFonts w:cs="Times New Roman"/>
                <w:b/>
                <w:sz w:val="24"/>
                <w:szCs w:val="24"/>
              </w:rPr>
              <w:t>Training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096258BF" w14:textId="496A4D39" w:rsidR="00C7039A" w:rsidRPr="0065158B" w:rsidRDefault="00C75ED4" w:rsidP="00F76F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ICT literary training in villages</w:t>
            </w:r>
          </w:p>
        </w:tc>
      </w:tr>
      <w:tr w:rsidR="00C7039A" w:rsidRPr="0065158B" w14:paraId="6207ECBD" w14:textId="77777777" w:rsidTr="000959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shd w:val="clear" w:color="auto" w:fill="auto"/>
            <w:vAlign w:val="center"/>
          </w:tcPr>
          <w:p w14:paraId="3BCB3A9F" w14:textId="41AEBDFB" w:rsidR="00296F12" w:rsidRPr="00F76F5A" w:rsidRDefault="00F76F5A" w:rsidP="00F76F5A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Year program started</w:t>
            </w:r>
          </w:p>
        </w:tc>
        <w:tc>
          <w:tcPr>
            <w:tcW w:w="2294" w:type="dxa"/>
            <w:shd w:val="clear" w:color="auto" w:fill="auto"/>
            <w:vAlign w:val="center"/>
          </w:tcPr>
          <w:p w14:paraId="7E94C6B7" w14:textId="2A1EC643" w:rsidR="00C7039A" w:rsidRPr="0065158B" w:rsidRDefault="00AD0676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2014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2C985C55" w14:textId="16660F0D" w:rsidR="00C7039A" w:rsidRPr="0065158B" w:rsidRDefault="004A65FB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  <w:t>Cost to users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6C1AFA79" w14:textId="282D2ABF" w:rsidR="00C7039A" w:rsidRPr="0065158B" w:rsidRDefault="004A65FB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65158B">
              <w:rPr>
                <w:rFonts w:cs="Times New Roman"/>
                <w:sz w:val="24"/>
                <w:szCs w:val="24"/>
              </w:rPr>
              <w:t>Free</w:t>
            </w:r>
          </w:p>
        </w:tc>
      </w:tr>
      <w:tr w:rsidR="00C7039A" w:rsidRPr="0065158B" w14:paraId="535C1B18" w14:textId="77777777" w:rsidTr="0009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shd w:val="clear" w:color="auto" w:fill="auto"/>
            <w:vAlign w:val="center"/>
          </w:tcPr>
          <w:p w14:paraId="6512075E" w14:textId="2AE21E22" w:rsidR="00C7039A" w:rsidRPr="0065158B" w:rsidRDefault="00DC488D" w:rsidP="00F76F5A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Geography</w:t>
            </w:r>
          </w:p>
        </w:tc>
        <w:tc>
          <w:tcPr>
            <w:tcW w:w="2294" w:type="dxa"/>
            <w:shd w:val="clear" w:color="auto" w:fill="auto"/>
            <w:vAlign w:val="center"/>
          </w:tcPr>
          <w:p w14:paraId="7FB192E3" w14:textId="48457897" w:rsidR="00C7039A" w:rsidRPr="0065158B" w:rsidRDefault="00DC488D" w:rsidP="00F76F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Valleys, mountains, and deserts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A5D0453" w14:textId="1D7A0C28" w:rsidR="00C7039A" w:rsidRPr="0065158B" w:rsidRDefault="0093552C" w:rsidP="00F76F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b/>
                <w:sz w:val="24"/>
                <w:szCs w:val="24"/>
              </w:rPr>
              <w:t>Total cost of program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3D7BD9B7" w14:textId="21E82DE9" w:rsidR="00C7039A" w:rsidRPr="0065158B" w:rsidRDefault="0093552C" w:rsidP="00F76F5A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US</w:t>
            </w:r>
            <w:r w:rsidR="004A65FB"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$</w:t>
            </w: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4A65FB"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500,000</w:t>
            </w:r>
          </w:p>
        </w:tc>
      </w:tr>
      <w:tr w:rsidR="00C7039A" w:rsidRPr="0065158B" w14:paraId="383D8F12" w14:textId="77777777" w:rsidTr="0009593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  <w:shd w:val="clear" w:color="auto" w:fill="auto"/>
            <w:vAlign w:val="center"/>
          </w:tcPr>
          <w:p w14:paraId="0F884ADA" w14:textId="79798243" w:rsidR="00C7039A" w:rsidRPr="0065158B" w:rsidRDefault="005F328B" w:rsidP="00F76F5A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sz w:val="24"/>
                <w:szCs w:val="24"/>
              </w:rPr>
              <w:t>User profile</w:t>
            </w:r>
          </w:p>
        </w:tc>
        <w:tc>
          <w:tcPr>
            <w:tcW w:w="2294" w:type="dxa"/>
            <w:shd w:val="clear" w:color="auto" w:fill="auto"/>
            <w:vAlign w:val="center"/>
          </w:tcPr>
          <w:p w14:paraId="7AAC4C95" w14:textId="5DE55CC8" w:rsidR="00C7039A" w:rsidRPr="0065158B" w:rsidRDefault="0065158B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cs="Times New Roman"/>
                <w:color w:val="000000"/>
                <w:sz w:val="24"/>
                <w:szCs w:val="24"/>
                <w:lang w:eastAsia="en-US"/>
              </w:rPr>
              <w:t xml:space="preserve">Students in </w:t>
            </w:r>
            <w:r w:rsidR="009D4DB6"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 xml:space="preserve">27 schools / </w:t>
            </w:r>
            <w:r>
              <w:rPr>
                <w:rFonts w:cs="Times New Roman"/>
                <w:color w:val="000000"/>
                <w:sz w:val="24"/>
                <w:szCs w:val="24"/>
                <w:lang w:eastAsia="en-US"/>
              </w:rPr>
              <w:t xml:space="preserve">officers in </w:t>
            </w:r>
            <w:r w:rsidR="009D4DB6"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 xml:space="preserve">7 </w:t>
            </w:r>
            <w:r>
              <w:rPr>
                <w:rFonts w:cs="Times New Roman"/>
                <w:color w:val="000000"/>
                <w:sz w:val="24"/>
                <w:szCs w:val="24"/>
                <w:lang w:eastAsia="en-US"/>
              </w:rPr>
              <w:t>adm</w:t>
            </w:r>
            <w:r w:rsidR="008D121C">
              <w:rPr>
                <w:rFonts w:cs="Times New Roman"/>
                <w:color w:val="000000"/>
                <w:sz w:val="24"/>
                <w:szCs w:val="24"/>
                <w:lang w:eastAsia="en-US"/>
              </w:rPr>
              <w:t>i</w:t>
            </w:r>
            <w:r>
              <w:rPr>
                <w:rFonts w:cs="Times New Roman"/>
                <w:color w:val="000000"/>
                <w:sz w:val="24"/>
                <w:szCs w:val="24"/>
                <w:lang w:eastAsia="en-US"/>
              </w:rPr>
              <w:t>nistration</w:t>
            </w:r>
            <w:r w:rsidR="009D4DB6"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 xml:space="preserve"> offices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3F02E398" w14:textId="4393A15B" w:rsidR="00C7039A" w:rsidRPr="0065158B" w:rsidRDefault="00C55B09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65158B">
              <w:rPr>
                <w:rFonts w:cs="Times New Roman"/>
                <w:b/>
                <w:sz w:val="24"/>
                <w:szCs w:val="24"/>
              </w:rPr>
              <w:t>Associated organizations</w:t>
            </w:r>
          </w:p>
        </w:tc>
        <w:tc>
          <w:tcPr>
            <w:tcW w:w="2738" w:type="dxa"/>
            <w:shd w:val="clear" w:color="auto" w:fill="auto"/>
            <w:vAlign w:val="center"/>
          </w:tcPr>
          <w:p w14:paraId="7FDFD60B" w14:textId="3FD5E524" w:rsidR="00C55B09" w:rsidRPr="0065158B" w:rsidRDefault="00C55B09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Adaptrum</w:t>
            </w:r>
            <w:proofErr w:type="spellEnd"/>
            <w:r w:rsidR="00296F12"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,</w:t>
            </w:r>
          </w:p>
          <w:p w14:paraId="4923634D" w14:textId="0BC46727" w:rsidR="00C55B09" w:rsidRPr="0065158B" w:rsidRDefault="00C55B09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MCA-Namibia</w:t>
            </w:r>
            <w:r w:rsidR="00296F12"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,</w:t>
            </w:r>
          </w:p>
          <w:p w14:paraId="6DA54BD3" w14:textId="08B60B2E" w:rsidR="00C55B09" w:rsidRPr="0065158B" w:rsidRDefault="00C55B09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MCC</w:t>
            </w:r>
            <w:r w:rsidR="00296F12"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,</w:t>
            </w:r>
          </w:p>
          <w:p w14:paraId="795AC919" w14:textId="4AD7862D" w:rsidR="00C55B09" w:rsidRPr="0065158B" w:rsidRDefault="00C55B09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Microsoft</w:t>
            </w:r>
            <w:r w:rsidR="00296F12"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,</w:t>
            </w:r>
          </w:p>
          <w:p w14:paraId="6CE2149C" w14:textId="2AE1B035" w:rsidR="00C7039A" w:rsidRPr="0065158B" w:rsidRDefault="00C55B09" w:rsidP="00F76F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 w:val="24"/>
                <w:szCs w:val="24"/>
                <w:lang w:eastAsia="en-US"/>
              </w:rPr>
            </w:pPr>
            <w:r w:rsidRPr="0065158B">
              <w:rPr>
                <w:rFonts w:cs="Times New Roman"/>
                <w:color w:val="000000"/>
                <w:sz w:val="24"/>
                <w:szCs w:val="24"/>
                <w:lang w:eastAsia="en-US"/>
              </w:rPr>
              <w:t>My Digital Bridge Foundation</w:t>
            </w:r>
          </w:p>
        </w:tc>
      </w:tr>
    </w:tbl>
    <w:p w14:paraId="5EA84BF5" w14:textId="59A89D0A" w:rsidR="00286CB9" w:rsidRPr="00B13197" w:rsidRDefault="00EF6A4E" w:rsidP="00F76F5A">
      <w:pPr>
        <w:pStyle w:val="Heading1"/>
        <w:rPr>
          <w:b/>
        </w:rPr>
      </w:pPr>
      <w:r>
        <w:t>Progress and R</w:t>
      </w:r>
      <w:r w:rsidRPr="00B13197">
        <w:t>esults</w:t>
      </w:r>
    </w:p>
    <w:p w14:paraId="4530F1CD" w14:textId="0FD54CA8" w:rsidR="005736F5" w:rsidRPr="00B13197" w:rsidRDefault="008F34C2" w:rsidP="00F76F5A">
      <w:pPr>
        <w:jc w:val="both"/>
        <w:rPr>
          <w:rFonts w:cs="Times New Roman"/>
          <w:szCs w:val="24"/>
        </w:rPr>
      </w:pPr>
      <w:r w:rsidRPr="00B13197">
        <w:rPr>
          <w:rFonts w:cs="Times New Roman"/>
          <w:szCs w:val="24"/>
        </w:rPr>
        <w:t xml:space="preserve">The Namibian TVWS pilot project was successful in orchestrating broadband to four more schools than expected, </w:t>
      </w:r>
      <w:r w:rsidR="00EB2A73" w:rsidRPr="00B13197">
        <w:rPr>
          <w:rFonts w:cs="Times New Roman"/>
          <w:szCs w:val="24"/>
        </w:rPr>
        <w:t>reaching 27 in all</w:t>
      </w:r>
      <w:r w:rsidR="00117B8C" w:rsidRPr="00B13197">
        <w:rPr>
          <w:rFonts w:cs="Times New Roman"/>
          <w:szCs w:val="24"/>
        </w:rPr>
        <w:t>.</w:t>
      </w:r>
      <w:r w:rsidR="00FB0AB3">
        <w:rPr>
          <w:rFonts w:cs="Times New Roman"/>
          <w:szCs w:val="24"/>
        </w:rPr>
        <w:t xml:space="preserve"> T</w:t>
      </w:r>
      <w:r w:rsidR="00EB2A73" w:rsidRPr="00B13197">
        <w:rPr>
          <w:rFonts w:cs="Times New Roman"/>
          <w:szCs w:val="24"/>
        </w:rPr>
        <w:t xml:space="preserve">hey fell slightly short of the targeted </w:t>
      </w:r>
      <w:r w:rsidR="00FB0AB3">
        <w:rPr>
          <w:rFonts w:cs="Times New Roman"/>
          <w:szCs w:val="24"/>
        </w:rPr>
        <w:t>10</w:t>
      </w:r>
      <w:r w:rsidR="00EB2A73" w:rsidRPr="00B13197">
        <w:rPr>
          <w:rFonts w:cs="Times New Roman"/>
          <w:szCs w:val="24"/>
        </w:rPr>
        <w:t xml:space="preserve"> administration offices, </w:t>
      </w:r>
      <w:r w:rsidR="00FB0AB3">
        <w:rPr>
          <w:rFonts w:cs="Times New Roman"/>
          <w:szCs w:val="24"/>
        </w:rPr>
        <w:t xml:space="preserve">however, only </w:t>
      </w:r>
      <w:r w:rsidR="00EB2A73" w:rsidRPr="00B13197">
        <w:rPr>
          <w:rFonts w:cs="Times New Roman"/>
          <w:szCs w:val="24"/>
        </w:rPr>
        <w:t>providing connectivity to seven</w:t>
      </w:r>
      <w:r w:rsidR="00117B8C" w:rsidRPr="00B13197">
        <w:rPr>
          <w:rFonts w:cs="Times New Roman"/>
          <w:szCs w:val="24"/>
        </w:rPr>
        <w:t xml:space="preserve">. </w:t>
      </w:r>
      <w:r w:rsidR="00EB2A73" w:rsidRPr="00B13197">
        <w:rPr>
          <w:rFonts w:cs="Times New Roman"/>
          <w:szCs w:val="24"/>
        </w:rPr>
        <w:t>While the technology remains in place to continue TVWS in the northern region</w:t>
      </w:r>
      <w:r w:rsidR="000D7B6C" w:rsidRPr="00B13197">
        <w:rPr>
          <w:rFonts w:cs="Times New Roman"/>
          <w:szCs w:val="24"/>
        </w:rPr>
        <w:t>,</w:t>
      </w:r>
      <w:r w:rsidR="00D960A5">
        <w:rPr>
          <w:rFonts w:cs="Times New Roman"/>
          <w:szCs w:val="24"/>
        </w:rPr>
        <w:t xml:space="preserve"> the government has disallowed Citizen Connect</w:t>
      </w:r>
      <w:r w:rsidR="000D7B6C" w:rsidRPr="00B13197">
        <w:rPr>
          <w:rFonts w:cs="Times New Roman"/>
          <w:szCs w:val="24"/>
        </w:rPr>
        <w:t xml:space="preserve"> to remain operational.</w:t>
      </w:r>
    </w:p>
    <w:p w14:paraId="53E04EC8" w14:textId="5B8ADB87" w:rsidR="004E4BEB" w:rsidRPr="00B13197" w:rsidRDefault="000D7B6C" w:rsidP="00F76F5A">
      <w:pPr>
        <w:jc w:val="both"/>
        <w:rPr>
          <w:rFonts w:cs="Times New Roman"/>
          <w:szCs w:val="24"/>
        </w:rPr>
      </w:pPr>
      <w:r w:rsidRPr="00B13197">
        <w:rPr>
          <w:rFonts w:cs="Times New Roman"/>
          <w:szCs w:val="24"/>
        </w:rPr>
        <w:t>Though the technology is falling into disrepair from lack of use, My</w:t>
      </w:r>
      <w:r w:rsidR="00117B8C">
        <w:rPr>
          <w:rFonts w:cs="Times New Roman"/>
          <w:szCs w:val="24"/>
        </w:rPr>
        <w:t xml:space="preserve"> </w:t>
      </w:r>
      <w:r w:rsidRPr="00B13197">
        <w:rPr>
          <w:rFonts w:cs="Times New Roman"/>
          <w:szCs w:val="24"/>
        </w:rPr>
        <w:t>Digital</w:t>
      </w:r>
      <w:r w:rsidR="00117B8C">
        <w:rPr>
          <w:rFonts w:cs="Times New Roman"/>
          <w:szCs w:val="24"/>
        </w:rPr>
        <w:t xml:space="preserve"> </w:t>
      </w:r>
      <w:r w:rsidRPr="00B13197">
        <w:rPr>
          <w:rFonts w:cs="Times New Roman"/>
          <w:szCs w:val="24"/>
        </w:rPr>
        <w:t>Bridge was able to implement the technological infrastructure for future TVWS projects in</w:t>
      </w:r>
      <w:r w:rsidR="00A769D2" w:rsidRPr="00B13197">
        <w:rPr>
          <w:rFonts w:cs="Times New Roman"/>
          <w:szCs w:val="24"/>
        </w:rPr>
        <w:t xml:space="preserve"> northern</w:t>
      </w:r>
      <w:r w:rsidR="00C77B6E">
        <w:rPr>
          <w:rFonts w:cs="Times New Roman"/>
          <w:szCs w:val="24"/>
        </w:rPr>
        <w:t xml:space="preserve"> Namibia. </w:t>
      </w:r>
      <w:r w:rsidR="00D960A5">
        <w:rPr>
          <w:rFonts w:cs="Times New Roman"/>
          <w:szCs w:val="24"/>
        </w:rPr>
        <w:t>In addition, the Citizen Connect</w:t>
      </w:r>
      <w:r w:rsidRPr="00B13197">
        <w:rPr>
          <w:rFonts w:cs="Times New Roman"/>
          <w:szCs w:val="24"/>
        </w:rPr>
        <w:t xml:space="preserve"> project showed the viability of using this method to connect rural regions to the </w:t>
      </w:r>
      <w:r w:rsidR="00117B8C" w:rsidRPr="00B13197">
        <w:rPr>
          <w:rFonts w:cs="Times New Roman"/>
          <w:szCs w:val="24"/>
        </w:rPr>
        <w:t>Internet</w:t>
      </w:r>
      <w:r w:rsidRPr="00B13197">
        <w:rPr>
          <w:rFonts w:cs="Times New Roman"/>
          <w:szCs w:val="24"/>
        </w:rPr>
        <w:t xml:space="preserve"> as well as its ability</w:t>
      </w:r>
      <w:r w:rsidR="00D01B70" w:rsidRPr="00B13197">
        <w:rPr>
          <w:rFonts w:cs="Times New Roman"/>
          <w:szCs w:val="24"/>
        </w:rPr>
        <w:t xml:space="preserve"> to be powered by solar energy</w:t>
      </w:r>
      <w:r w:rsidR="00C77B6E" w:rsidRPr="00B13197">
        <w:rPr>
          <w:rFonts w:cs="Times New Roman"/>
          <w:szCs w:val="24"/>
        </w:rPr>
        <w:t xml:space="preserve">. </w:t>
      </w:r>
      <w:r w:rsidRPr="00B13197">
        <w:rPr>
          <w:rFonts w:cs="Times New Roman"/>
          <w:szCs w:val="24"/>
        </w:rPr>
        <w:t xml:space="preserve">Finally, while the project was functional, it helped </w:t>
      </w:r>
      <w:r w:rsidR="00A769D2" w:rsidRPr="00B13197">
        <w:rPr>
          <w:rFonts w:cs="Times New Roman"/>
          <w:szCs w:val="24"/>
        </w:rPr>
        <w:t xml:space="preserve">increase </w:t>
      </w:r>
      <w:r w:rsidR="00C77B6E">
        <w:rPr>
          <w:rFonts w:cs="Times New Roman"/>
          <w:szCs w:val="24"/>
        </w:rPr>
        <w:t>information and communications technology (</w:t>
      </w:r>
      <w:r w:rsidR="00A769D2" w:rsidRPr="00B13197">
        <w:rPr>
          <w:rFonts w:cs="Times New Roman"/>
          <w:szCs w:val="24"/>
        </w:rPr>
        <w:t>ICT</w:t>
      </w:r>
      <w:r w:rsidR="00C77B6E">
        <w:rPr>
          <w:rFonts w:cs="Times New Roman"/>
          <w:szCs w:val="24"/>
        </w:rPr>
        <w:t>)</w:t>
      </w:r>
      <w:r w:rsidR="00A769D2" w:rsidRPr="00B13197">
        <w:rPr>
          <w:rFonts w:cs="Times New Roman"/>
          <w:szCs w:val="24"/>
        </w:rPr>
        <w:t xml:space="preserve"> </w:t>
      </w:r>
      <w:r w:rsidRPr="00B13197">
        <w:rPr>
          <w:rFonts w:cs="Times New Roman"/>
          <w:szCs w:val="24"/>
        </w:rPr>
        <w:t xml:space="preserve">literacy </w:t>
      </w:r>
      <w:r w:rsidR="00017343">
        <w:rPr>
          <w:rFonts w:cs="Times New Roman"/>
          <w:szCs w:val="24"/>
        </w:rPr>
        <w:t>within targeted communities.</w:t>
      </w:r>
    </w:p>
    <w:p w14:paraId="7CFD7738" w14:textId="7987BE98" w:rsidR="00064898" w:rsidRPr="00B13197" w:rsidRDefault="00064898" w:rsidP="00F76F5A">
      <w:pPr>
        <w:pStyle w:val="Heading1"/>
        <w:rPr>
          <w:b/>
        </w:rPr>
      </w:pPr>
      <w:r w:rsidRPr="00B13197">
        <w:t>Challenges</w:t>
      </w:r>
    </w:p>
    <w:p w14:paraId="5B91386F" w14:textId="40DCFF05" w:rsidR="00EB2A73" w:rsidRPr="00B13197" w:rsidRDefault="00EB2A73" w:rsidP="00F76F5A">
      <w:pPr>
        <w:jc w:val="both"/>
        <w:rPr>
          <w:rFonts w:cs="Times New Roman"/>
          <w:szCs w:val="24"/>
        </w:rPr>
      </w:pPr>
      <w:r w:rsidRPr="00B13197">
        <w:rPr>
          <w:rFonts w:cs="Times New Roman"/>
          <w:b/>
          <w:szCs w:val="24"/>
        </w:rPr>
        <w:t>Regulat</w:t>
      </w:r>
      <w:r w:rsidR="00EB70BA">
        <w:rPr>
          <w:rFonts w:cs="Times New Roman"/>
          <w:b/>
          <w:szCs w:val="24"/>
        </w:rPr>
        <w:t xml:space="preserve">ory challenges </w:t>
      </w:r>
      <w:r w:rsidR="002F4B29" w:rsidRPr="00B13197">
        <w:rPr>
          <w:rFonts w:cs="Times New Roman"/>
          <w:b/>
          <w:szCs w:val="24"/>
        </w:rPr>
        <w:t xml:space="preserve">– </w:t>
      </w:r>
      <w:r w:rsidR="000D7B6C" w:rsidRPr="00B13197">
        <w:rPr>
          <w:rFonts w:cs="Times New Roman"/>
          <w:szCs w:val="24"/>
        </w:rPr>
        <w:t xml:space="preserve">Hostile or inexpertly written regulatory frameworks </w:t>
      </w:r>
      <w:r w:rsidR="00017343">
        <w:rPr>
          <w:rFonts w:cs="Times New Roman"/>
          <w:szCs w:val="24"/>
        </w:rPr>
        <w:t xml:space="preserve">were a challenge to scaling the project. </w:t>
      </w:r>
      <w:r w:rsidR="000D7B6C" w:rsidRPr="00B13197">
        <w:rPr>
          <w:rFonts w:cs="Times New Roman"/>
          <w:szCs w:val="24"/>
        </w:rPr>
        <w:t>In the Namib</w:t>
      </w:r>
      <w:r w:rsidR="002E77F9">
        <w:rPr>
          <w:rFonts w:cs="Times New Roman"/>
          <w:szCs w:val="24"/>
        </w:rPr>
        <w:t xml:space="preserve">ian example, a single, powerful, </w:t>
      </w:r>
      <w:r w:rsidR="000D7B6C" w:rsidRPr="00B13197">
        <w:rPr>
          <w:rFonts w:cs="Times New Roman"/>
          <w:szCs w:val="24"/>
        </w:rPr>
        <w:t xml:space="preserve">unfriendly </w:t>
      </w:r>
      <w:r w:rsidR="000D7B6C" w:rsidRPr="00B13197">
        <w:rPr>
          <w:rFonts w:cs="Times New Roman"/>
          <w:szCs w:val="24"/>
        </w:rPr>
        <w:lastRenderedPageBreak/>
        <w:t>individual in govern</w:t>
      </w:r>
      <w:r w:rsidR="00017343">
        <w:rPr>
          <w:rFonts w:cs="Times New Roman"/>
          <w:szCs w:val="24"/>
        </w:rPr>
        <w:t xml:space="preserve">ment </w:t>
      </w:r>
      <w:r w:rsidR="000D7B6C" w:rsidRPr="00B13197">
        <w:rPr>
          <w:rFonts w:cs="Times New Roman"/>
          <w:szCs w:val="24"/>
        </w:rPr>
        <w:t>worked against scaling the project nati</w:t>
      </w:r>
      <w:r w:rsidR="00C77B6E">
        <w:rPr>
          <w:rFonts w:cs="Times New Roman"/>
          <w:szCs w:val="24"/>
        </w:rPr>
        <w:t>onwide.</w:t>
      </w:r>
      <w:r w:rsidR="000D7B6C" w:rsidRPr="00B13197">
        <w:rPr>
          <w:rFonts w:cs="Times New Roman"/>
          <w:szCs w:val="24"/>
        </w:rPr>
        <w:t xml:space="preserve"> Pushback from regulatory bodies within the Namibian state </w:t>
      </w:r>
      <w:r w:rsidR="00017343">
        <w:rPr>
          <w:rFonts w:cs="Times New Roman"/>
          <w:szCs w:val="24"/>
        </w:rPr>
        <w:t>has led to the project not being able to continue.</w:t>
      </w:r>
    </w:p>
    <w:p w14:paraId="25CD0A7C" w14:textId="2F5712BA" w:rsidR="000D7B6C" w:rsidRPr="00B13197" w:rsidRDefault="00EB70BA" w:rsidP="00F76F5A">
      <w:pPr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Coordination challenges </w:t>
      </w:r>
      <w:r w:rsidR="002F4B29" w:rsidRPr="00B13197">
        <w:rPr>
          <w:rFonts w:cs="Times New Roman"/>
          <w:b/>
          <w:szCs w:val="24"/>
        </w:rPr>
        <w:t xml:space="preserve">– </w:t>
      </w:r>
      <w:r w:rsidR="006B5449" w:rsidRPr="00B13197">
        <w:rPr>
          <w:rFonts w:cs="Times New Roman"/>
          <w:szCs w:val="24"/>
        </w:rPr>
        <w:t>Governmental indifference can make physical deployment of necessary technologies difficult. For</w:t>
      </w:r>
      <w:r w:rsidR="00017343">
        <w:rPr>
          <w:rFonts w:cs="Times New Roman"/>
          <w:szCs w:val="24"/>
        </w:rPr>
        <w:t xml:space="preserve"> instance</w:t>
      </w:r>
      <w:r w:rsidR="006B5449" w:rsidRPr="00B13197">
        <w:rPr>
          <w:rFonts w:cs="Times New Roman"/>
          <w:szCs w:val="24"/>
        </w:rPr>
        <w:t>, if a connect</w:t>
      </w:r>
      <w:r w:rsidR="00017343">
        <w:rPr>
          <w:rFonts w:cs="Times New Roman"/>
          <w:szCs w:val="24"/>
        </w:rPr>
        <w:t>ion point needs to be situated in public spaces,</w:t>
      </w:r>
      <w:r w:rsidR="006B5449" w:rsidRPr="00B13197">
        <w:rPr>
          <w:rFonts w:cs="Times New Roman"/>
          <w:szCs w:val="24"/>
        </w:rPr>
        <w:t xml:space="preserve"> it is </w:t>
      </w:r>
      <w:r w:rsidR="00D01B70" w:rsidRPr="00B13197">
        <w:rPr>
          <w:rFonts w:cs="Times New Roman"/>
          <w:szCs w:val="24"/>
        </w:rPr>
        <w:t>much harder to make this a reality</w:t>
      </w:r>
      <w:r w:rsidR="002E77F9" w:rsidRPr="002E77F9">
        <w:rPr>
          <w:rFonts w:cs="Times New Roman"/>
          <w:szCs w:val="24"/>
        </w:rPr>
        <w:t xml:space="preserve"> </w:t>
      </w:r>
      <w:r w:rsidR="002E77F9">
        <w:rPr>
          <w:rFonts w:cs="Times New Roman"/>
          <w:szCs w:val="24"/>
        </w:rPr>
        <w:t>without intervention from a government</w:t>
      </w:r>
      <w:r w:rsidR="002E77F9" w:rsidRPr="00B13197">
        <w:rPr>
          <w:rFonts w:cs="Times New Roman"/>
          <w:szCs w:val="24"/>
        </w:rPr>
        <w:t xml:space="preserve"> official</w:t>
      </w:r>
      <w:r w:rsidR="00D01B70" w:rsidRPr="00B13197">
        <w:rPr>
          <w:rFonts w:cs="Times New Roman"/>
          <w:szCs w:val="24"/>
        </w:rPr>
        <w:t>.</w:t>
      </w:r>
      <w:r w:rsidR="00017343">
        <w:rPr>
          <w:rFonts w:cs="Times New Roman"/>
          <w:szCs w:val="24"/>
        </w:rPr>
        <w:t xml:space="preserve"> This proved to be a continued challenge for the project. </w:t>
      </w:r>
      <w:r w:rsidRPr="00B13197">
        <w:rPr>
          <w:rFonts w:cs="Times New Roman"/>
          <w:szCs w:val="24"/>
        </w:rPr>
        <w:t>In addition, the multiple actors involved also struggled with working in a concerted way.</w:t>
      </w:r>
      <w:bookmarkStart w:id="0" w:name="_GoBack"/>
      <w:bookmarkEnd w:id="0"/>
    </w:p>
    <w:p w14:paraId="4F4AF949" w14:textId="4AB8D1D7" w:rsidR="004D0FB0" w:rsidRPr="00B13197" w:rsidRDefault="00EB70BA" w:rsidP="00F76F5A">
      <w:pPr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Lack of sustained funding. </w:t>
      </w:r>
      <w:r w:rsidR="00117B8C">
        <w:rPr>
          <w:rFonts w:cs="Times New Roman"/>
          <w:b/>
          <w:szCs w:val="24"/>
        </w:rPr>
        <w:t xml:space="preserve"> –</w:t>
      </w:r>
      <w:r w:rsidR="006B5449" w:rsidRPr="00B13197">
        <w:rPr>
          <w:rFonts w:cs="Times New Roman"/>
          <w:b/>
          <w:szCs w:val="24"/>
        </w:rPr>
        <w:t xml:space="preserve"> </w:t>
      </w:r>
      <w:r w:rsidR="009473C7" w:rsidRPr="00B13197">
        <w:rPr>
          <w:rFonts w:cs="Times New Roman"/>
          <w:szCs w:val="24"/>
        </w:rPr>
        <w:t>While the pilot program was successful and there were hopes that it would be scaled nationwide, both the means of funding and implementing the project on a larger scale were not discusse</w:t>
      </w:r>
      <w:r w:rsidR="002E77F9">
        <w:rPr>
          <w:rFonts w:cs="Times New Roman"/>
          <w:szCs w:val="24"/>
        </w:rPr>
        <w:t xml:space="preserve">d early enough in the project. </w:t>
      </w:r>
    </w:p>
    <w:p w14:paraId="0ECA4D3D" w14:textId="72DE82A0" w:rsidR="00286CB9" w:rsidRPr="00B13197" w:rsidRDefault="00EF6A4E" w:rsidP="00F76F5A">
      <w:pPr>
        <w:pStyle w:val="Heading1"/>
        <w:rPr>
          <w:b/>
        </w:rPr>
      </w:pPr>
      <w:r w:rsidRPr="00EF6A4E">
        <w:t xml:space="preserve">My Digital </w:t>
      </w:r>
      <w:r>
        <w:t>Bridge Fou</w:t>
      </w:r>
      <w:r w:rsidRPr="00EF6A4E">
        <w:t>ndation</w:t>
      </w:r>
      <w:r>
        <w:t>’</w:t>
      </w:r>
      <w:r w:rsidR="00286CB9" w:rsidRPr="00B13197">
        <w:t>s</w:t>
      </w:r>
      <w:r>
        <w:t xml:space="preserve"> Suggestions for</w:t>
      </w:r>
      <w:r w:rsidR="002E77F9">
        <w:t xml:space="preserve"> </w:t>
      </w:r>
      <w:r>
        <w:t>Future Projects</w:t>
      </w:r>
    </w:p>
    <w:p w14:paraId="6D2FC7E0" w14:textId="01EF74B4" w:rsidR="00FD2397" w:rsidRPr="00B13197" w:rsidRDefault="00FD2397" w:rsidP="00F76F5A">
      <w:pPr>
        <w:jc w:val="both"/>
        <w:rPr>
          <w:rFonts w:cs="Times New Roman"/>
          <w:szCs w:val="24"/>
        </w:rPr>
      </w:pPr>
      <w:r w:rsidRPr="00B13197">
        <w:rPr>
          <w:rFonts w:cs="Times New Roman"/>
          <w:b/>
          <w:szCs w:val="24"/>
        </w:rPr>
        <w:t>TVWS</w:t>
      </w:r>
      <w:r w:rsidR="00017343">
        <w:rPr>
          <w:rFonts w:cs="Times New Roman"/>
          <w:b/>
          <w:szCs w:val="24"/>
        </w:rPr>
        <w:t xml:space="preserve"> </w:t>
      </w:r>
      <w:r w:rsidR="006C72FB">
        <w:rPr>
          <w:rFonts w:cs="Times New Roman"/>
          <w:b/>
          <w:szCs w:val="24"/>
        </w:rPr>
        <w:t>helps to connect</w:t>
      </w:r>
      <w:r w:rsidRPr="00B13197">
        <w:rPr>
          <w:rFonts w:cs="Times New Roman"/>
          <w:b/>
          <w:szCs w:val="24"/>
        </w:rPr>
        <w:t xml:space="preserve"> </w:t>
      </w:r>
      <w:r w:rsidR="006C72FB">
        <w:rPr>
          <w:rFonts w:cs="Times New Roman"/>
          <w:b/>
          <w:szCs w:val="24"/>
        </w:rPr>
        <w:t>challenging terrains</w:t>
      </w:r>
      <w:r w:rsidR="00B13197">
        <w:rPr>
          <w:rFonts w:cs="Times New Roman"/>
          <w:b/>
          <w:szCs w:val="24"/>
        </w:rPr>
        <w:t xml:space="preserve"> –</w:t>
      </w:r>
      <w:r w:rsidR="009473C7" w:rsidRPr="00B13197">
        <w:rPr>
          <w:rFonts w:cs="Times New Roman"/>
          <w:b/>
          <w:szCs w:val="24"/>
        </w:rPr>
        <w:t xml:space="preserve"> </w:t>
      </w:r>
      <w:r w:rsidR="00017343">
        <w:rPr>
          <w:rFonts w:cs="Times New Roman"/>
          <w:szCs w:val="24"/>
        </w:rPr>
        <w:t xml:space="preserve">The project team notes that TVWS can help </w:t>
      </w:r>
      <w:r w:rsidR="009473C7" w:rsidRPr="00B13197">
        <w:rPr>
          <w:rFonts w:cs="Times New Roman"/>
          <w:szCs w:val="24"/>
        </w:rPr>
        <w:t xml:space="preserve">rural areas with </w:t>
      </w:r>
      <w:r w:rsidR="00017343">
        <w:rPr>
          <w:rFonts w:cs="Times New Roman"/>
          <w:szCs w:val="24"/>
        </w:rPr>
        <w:t xml:space="preserve">no </w:t>
      </w:r>
      <w:r w:rsidR="009473C7" w:rsidRPr="00B13197">
        <w:rPr>
          <w:rFonts w:cs="Times New Roman"/>
          <w:szCs w:val="24"/>
        </w:rPr>
        <w:t xml:space="preserve">broadband </w:t>
      </w:r>
      <w:r w:rsidR="00B13197" w:rsidRPr="00B13197">
        <w:rPr>
          <w:rFonts w:cs="Times New Roman"/>
          <w:szCs w:val="24"/>
        </w:rPr>
        <w:t>Internet</w:t>
      </w:r>
      <w:r w:rsidR="00017343">
        <w:rPr>
          <w:rFonts w:cs="Times New Roman"/>
          <w:szCs w:val="24"/>
        </w:rPr>
        <w:t xml:space="preserve"> connectivity and can be</w:t>
      </w:r>
      <w:r w:rsidR="00B13197">
        <w:rPr>
          <w:rFonts w:cs="Times New Roman"/>
          <w:szCs w:val="24"/>
        </w:rPr>
        <w:t xml:space="preserve"> easily deployed.</w:t>
      </w:r>
      <w:r w:rsidR="00017343">
        <w:rPr>
          <w:rFonts w:cs="Times New Roman"/>
          <w:szCs w:val="24"/>
        </w:rPr>
        <w:t xml:space="preserve"> It is</w:t>
      </w:r>
      <w:r w:rsidR="00D01B70" w:rsidRPr="00B13197">
        <w:rPr>
          <w:rFonts w:cs="Times New Roman"/>
          <w:szCs w:val="24"/>
        </w:rPr>
        <w:t xml:space="preserve"> not</w:t>
      </w:r>
      <w:r w:rsidR="009473C7" w:rsidRPr="00B13197">
        <w:rPr>
          <w:rFonts w:cs="Times New Roman"/>
          <w:szCs w:val="24"/>
        </w:rPr>
        <w:t xml:space="preserve"> disrup</w:t>
      </w:r>
      <w:r w:rsidR="00B13197">
        <w:rPr>
          <w:rFonts w:cs="Times New Roman"/>
          <w:szCs w:val="24"/>
        </w:rPr>
        <w:t xml:space="preserve">ted by landscape features (e.g., </w:t>
      </w:r>
      <w:r w:rsidR="009473C7" w:rsidRPr="00B13197">
        <w:rPr>
          <w:rFonts w:cs="Times New Roman"/>
          <w:szCs w:val="24"/>
        </w:rPr>
        <w:t xml:space="preserve">valleys) nor </w:t>
      </w:r>
      <w:r w:rsidR="00B13197" w:rsidRPr="00B13197">
        <w:rPr>
          <w:rFonts w:cs="Times New Roman"/>
          <w:szCs w:val="24"/>
        </w:rPr>
        <w:t>fabricated</w:t>
      </w:r>
      <w:r w:rsidR="009473C7" w:rsidRPr="00B13197">
        <w:rPr>
          <w:rFonts w:cs="Times New Roman"/>
          <w:szCs w:val="24"/>
        </w:rPr>
        <w:t xml:space="preserve"> struc</w:t>
      </w:r>
      <w:r w:rsidR="00D01B70" w:rsidRPr="00B13197">
        <w:rPr>
          <w:rFonts w:cs="Times New Roman"/>
          <w:szCs w:val="24"/>
        </w:rPr>
        <w:t>tures because of its reliance on</w:t>
      </w:r>
      <w:r w:rsidR="009473C7" w:rsidRPr="00B13197">
        <w:rPr>
          <w:rFonts w:cs="Times New Roman"/>
          <w:szCs w:val="24"/>
        </w:rPr>
        <w:t xml:space="preserve"> </w:t>
      </w:r>
      <w:r w:rsidR="00613D03" w:rsidRPr="00613D03">
        <w:rPr>
          <w:rFonts w:cs="Times New Roman"/>
          <w:bCs/>
          <w:szCs w:val="24"/>
        </w:rPr>
        <w:t>non-line-of-sight</w:t>
      </w:r>
      <w:r w:rsidR="00613D03" w:rsidRPr="00613D03">
        <w:rPr>
          <w:rFonts w:cs="Times New Roman"/>
          <w:szCs w:val="24"/>
        </w:rPr>
        <w:t> </w:t>
      </w:r>
      <w:r w:rsidR="00613D03">
        <w:rPr>
          <w:rFonts w:cs="Times New Roman"/>
          <w:szCs w:val="24"/>
        </w:rPr>
        <w:t>(</w:t>
      </w:r>
      <w:r w:rsidR="009473C7" w:rsidRPr="00B13197">
        <w:rPr>
          <w:rFonts w:cs="Times New Roman"/>
          <w:szCs w:val="24"/>
        </w:rPr>
        <w:t>NLOS</w:t>
      </w:r>
      <w:r w:rsidR="00613D03">
        <w:rPr>
          <w:rFonts w:cs="Times New Roman"/>
          <w:szCs w:val="24"/>
        </w:rPr>
        <w:t>)</w:t>
      </w:r>
      <w:r w:rsidR="009473C7" w:rsidRPr="00B13197">
        <w:rPr>
          <w:rFonts w:cs="Times New Roman"/>
          <w:szCs w:val="24"/>
        </w:rPr>
        <w:t xml:space="preserve"> technology.</w:t>
      </w:r>
      <w:r w:rsidR="00B13197">
        <w:rPr>
          <w:rFonts w:cs="Times New Roman"/>
          <w:szCs w:val="24"/>
        </w:rPr>
        <w:t xml:space="preserve"> </w:t>
      </w:r>
    </w:p>
    <w:p w14:paraId="0FBDC727" w14:textId="4419C17B" w:rsidR="00FD2397" w:rsidRPr="00B13197" w:rsidRDefault="00017343" w:rsidP="00F76F5A">
      <w:pPr>
        <w:tabs>
          <w:tab w:val="left" w:pos="1540"/>
          <w:tab w:val="left" w:pos="7230"/>
        </w:tabs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Soliciting g</w:t>
      </w:r>
      <w:r w:rsidR="002F4B29" w:rsidRPr="00B13197">
        <w:rPr>
          <w:rFonts w:cs="Times New Roman"/>
          <w:b/>
          <w:szCs w:val="24"/>
        </w:rPr>
        <w:t>overnment s</w:t>
      </w:r>
      <w:r w:rsidR="006B5449" w:rsidRPr="00B13197">
        <w:rPr>
          <w:rFonts w:cs="Times New Roman"/>
          <w:b/>
          <w:szCs w:val="24"/>
        </w:rPr>
        <w:t>upport</w:t>
      </w:r>
      <w:r>
        <w:rPr>
          <w:rFonts w:cs="Times New Roman"/>
          <w:b/>
          <w:szCs w:val="24"/>
        </w:rPr>
        <w:t xml:space="preserve"> is important</w:t>
      </w:r>
      <w:r w:rsidR="002F4B29" w:rsidRPr="00B13197">
        <w:rPr>
          <w:rFonts w:cs="Times New Roman"/>
          <w:b/>
          <w:szCs w:val="24"/>
        </w:rPr>
        <w:t xml:space="preserve"> – </w:t>
      </w:r>
      <w:r w:rsidR="00D01B70" w:rsidRPr="00B13197">
        <w:rPr>
          <w:rFonts w:cs="Times New Roman"/>
          <w:szCs w:val="24"/>
        </w:rPr>
        <w:t>Outright governmental hostility can completely impede or stop a project</w:t>
      </w:r>
      <w:r w:rsidR="00117B8C" w:rsidRPr="00B13197">
        <w:rPr>
          <w:rFonts w:cs="Times New Roman"/>
          <w:szCs w:val="24"/>
        </w:rPr>
        <w:t xml:space="preserve">. </w:t>
      </w:r>
      <w:r w:rsidR="00D01B70" w:rsidRPr="00B13197">
        <w:rPr>
          <w:rFonts w:cs="Times New Roman"/>
          <w:szCs w:val="24"/>
        </w:rPr>
        <w:t>Governmental indifference is likewise problematic.</w:t>
      </w:r>
      <w:r w:rsidR="00B13197">
        <w:rPr>
          <w:rFonts w:cs="Times New Roman"/>
          <w:szCs w:val="24"/>
        </w:rPr>
        <w:t xml:space="preserve"> </w:t>
      </w:r>
      <w:r w:rsidR="00D960A5">
        <w:rPr>
          <w:rFonts w:cs="Times New Roman"/>
          <w:szCs w:val="24"/>
        </w:rPr>
        <w:t>Their experience suggests how it is</w:t>
      </w:r>
      <w:r w:rsidR="00D01B70" w:rsidRPr="00B13197">
        <w:rPr>
          <w:rFonts w:cs="Times New Roman"/>
          <w:szCs w:val="24"/>
        </w:rPr>
        <w:t xml:space="preserve"> important to increase the friendliness o</w:t>
      </w:r>
      <w:r>
        <w:rPr>
          <w:rFonts w:cs="Times New Roman"/>
          <w:szCs w:val="24"/>
        </w:rPr>
        <w:t xml:space="preserve">f both government and regulatory bodies </w:t>
      </w:r>
      <w:r w:rsidR="00A769D2" w:rsidRPr="00B13197">
        <w:rPr>
          <w:rFonts w:cs="Times New Roman"/>
          <w:szCs w:val="24"/>
        </w:rPr>
        <w:t>as much as possible</w:t>
      </w:r>
      <w:r w:rsidR="00D01B70" w:rsidRPr="00B131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to ensure a project’s</w:t>
      </w:r>
      <w:r w:rsidR="00D01B70" w:rsidRPr="00B13197">
        <w:rPr>
          <w:rFonts w:cs="Times New Roman"/>
          <w:szCs w:val="24"/>
        </w:rPr>
        <w:t xml:space="preserve"> success.</w:t>
      </w:r>
    </w:p>
    <w:p w14:paraId="7E8DE148" w14:textId="4A843F09" w:rsidR="00FD2397" w:rsidRPr="00B13197" w:rsidRDefault="002F4B29" w:rsidP="00F76F5A">
      <w:pPr>
        <w:jc w:val="both"/>
        <w:rPr>
          <w:rFonts w:cs="Times New Roman"/>
          <w:szCs w:val="24"/>
        </w:rPr>
      </w:pPr>
      <w:r w:rsidRPr="00B13197">
        <w:rPr>
          <w:rFonts w:cs="Times New Roman"/>
          <w:b/>
          <w:szCs w:val="24"/>
        </w:rPr>
        <w:t>Local ICT literacy</w:t>
      </w:r>
      <w:r w:rsidR="00017343">
        <w:rPr>
          <w:rFonts w:cs="Times New Roman"/>
          <w:b/>
          <w:szCs w:val="24"/>
        </w:rPr>
        <w:t xml:space="preserve"> helps</w:t>
      </w:r>
      <w:r w:rsidR="00F16847">
        <w:rPr>
          <w:rFonts w:cs="Times New Roman"/>
          <w:b/>
          <w:szCs w:val="24"/>
        </w:rPr>
        <w:t xml:space="preserve"> with adoption</w:t>
      </w:r>
      <w:r w:rsidRPr="00B13197">
        <w:rPr>
          <w:rFonts w:cs="Times New Roman"/>
          <w:b/>
          <w:szCs w:val="24"/>
        </w:rPr>
        <w:t xml:space="preserve"> – </w:t>
      </w:r>
      <w:r w:rsidR="00D01B70" w:rsidRPr="00B13197">
        <w:rPr>
          <w:rFonts w:cs="Times New Roman"/>
          <w:szCs w:val="24"/>
        </w:rPr>
        <w:t>Pr</w:t>
      </w:r>
      <w:r w:rsidR="00D960A5">
        <w:rPr>
          <w:rFonts w:cs="Times New Roman"/>
          <w:szCs w:val="24"/>
        </w:rPr>
        <w:t>ojects such as Citizen Connect</w:t>
      </w:r>
      <w:r w:rsidR="00D01B70" w:rsidRPr="00B13197">
        <w:rPr>
          <w:rFonts w:cs="Times New Roman"/>
          <w:szCs w:val="24"/>
        </w:rPr>
        <w:t xml:space="preserve"> expand ICT literacy in regions that have</w:t>
      </w:r>
      <w:r w:rsidR="00224287" w:rsidRPr="00B13197">
        <w:rPr>
          <w:rFonts w:cs="Times New Roman"/>
          <w:szCs w:val="24"/>
        </w:rPr>
        <w:t xml:space="preserve"> little to no connectiv</w:t>
      </w:r>
      <w:r w:rsidR="00B13197">
        <w:rPr>
          <w:rFonts w:cs="Times New Roman"/>
          <w:szCs w:val="24"/>
        </w:rPr>
        <w:t xml:space="preserve">ity. </w:t>
      </w:r>
      <w:r w:rsidR="0079271F">
        <w:rPr>
          <w:rFonts w:cs="Times New Roman"/>
          <w:szCs w:val="24"/>
        </w:rPr>
        <w:t>Additionally, and due</w:t>
      </w:r>
      <w:r w:rsidR="00224287" w:rsidRPr="00B13197">
        <w:rPr>
          <w:rFonts w:cs="Times New Roman"/>
          <w:szCs w:val="24"/>
        </w:rPr>
        <w:t xml:space="preserve"> </w:t>
      </w:r>
      <w:r w:rsidR="0079271F">
        <w:rPr>
          <w:rFonts w:cs="Times New Roman"/>
          <w:szCs w:val="24"/>
        </w:rPr>
        <w:t>to the need for</w:t>
      </w:r>
      <w:r w:rsidR="00224287" w:rsidRPr="00B13197">
        <w:rPr>
          <w:rFonts w:cs="Times New Roman"/>
          <w:szCs w:val="24"/>
        </w:rPr>
        <w:t xml:space="preserve"> local maintainers </w:t>
      </w:r>
      <w:r w:rsidR="0079271F">
        <w:rPr>
          <w:rFonts w:cs="Times New Roman"/>
          <w:szCs w:val="24"/>
        </w:rPr>
        <w:t>of the infrastructure</w:t>
      </w:r>
      <w:r w:rsidR="00224287" w:rsidRPr="00B13197">
        <w:rPr>
          <w:rFonts w:cs="Times New Roman"/>
          <w:szCs w:val="24"/>
        </w:rPr>
        <w:t>, technical knowledge is diffused into the region.</w:t>
      </w:r>
      <w:r w:rsidR="00B13197" w:rsidRPr="00B13197">
        <w:rPr>
          <w:rFonts w:cs="Times New Roman"/>
          <w:szCs w:val="24"/>
        </w:rPr>
        <w:t xml:space="preserve"> </w:t>
      </w:r>
      <w:r w:rsidR="00193CB8" w:rsidRPr="00B13197">
        <w:rPr>
          <w:rFonts w:cs="Times New Roman"/>
          <w:szCs w:val="24"/>
        </w:rPr>
        <w:t xml:space="preserve">In turn, these individuals can help further propagate and </w:t>
      </w:r>
      <w:r w:rsidR="00A769D2" w:rsidRPr="00B13197">
        <w:rPr>
          <w:rFonts w:cs="Times New Roman"/>
          <w:szCs w:val="24"/>
        </w:rPr>
        <w:t>augment the system through the</w:t>
      </w:r>
      <w:r w:rsidR="00193CB8" w:rsidRPr="00B13197">
        <w:rPr>
          <w:rFonts w:cs="Times New Roman"/>
          <w:szCs w:val="24"/>
        </w:rPr>
        <w:t xml:space="preserve"> frame of their indigeneity.</w:t>
      </w:r>
    </w:p>
    <w:p w14:paraId="1DE2D8ED" w14:textId="2821874D" w:rsidR="00C13A18" w:rsidRDefault="00017343" w:rsidP="00F76F5A">
      <w:pPr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Sustainable business models are necessary </w:t>
      </w:r>
      <w:r w:rsidR="002F4B29" w:rsidRPr="00B13197">
        <w:rPr>
          <w:rFonts w:cs="Times New Roman"/>
          <w:szCs w:val="24"/>
        </w:rPr>
        <w:t xml:space="preserve">– </w:t>
      </w:r>
      <w:r w:rsidR="00FD2397" w:rsidRPr="00B13197">
        <w:rPr>
          <w:rFonts w:cs="Times New Roman"/>
          <w:szCs w:val="24"/>
        </w:rPr>
        <w:t xml:space="preserve">As is the case with many networks that are or have the potential to be free, projects of this sort </w:t>
      </w:r>
      <w:r w:rsidR="0079271F">
        <w:rPr>
          <w:rFonts w:cs="Times New Roman"/>
          <w:szCs w:val="24"/>
        </w:rPr>
        <w:t>may benefit from</w:t>
      </w:r>
      <w:r w:rsidR="00FD2397" w:rsidRPr="00B13197">
        <w:rPr>
          <w:rFonts w:cs="Times New Roman"/>
          <w:szCs w:val="24"/>
        </w:rPr>
        <w:t xml:space="preserve"> contend</w:t>
      </w:r>
      <w:r w:rsidR="0079271F">
        <w:rPr>
          <w:rFonts w:cs="Times New Roman"/>
          <w:szCs w:val="24"/>
        </w:rPr>
        <w:t>ing</w:t>
      </w:r>
      <w:r w:rsidR="00FD2397" w:rsidRPr="00B13197">
        <w:rPr>
          <w:rFonts w:cs="Times New Roman"/>
          <w:szCs w:val="24"/>
        </w:rPr>
        <w:t xml:space="preserve"> with the gener</w:t>
      </w:r>
      <w:r w:rsidR="00A769D2" w:rsidRPr="00B13197">
        <w:rPr>
          <w:rFonts w:cs="Times New Roman"/>
          <w:szCs w:val="24"/>
        </w:rPr>
        <w:t xml:space="preserve">al skittishness around the term </w:t>
      </w:r>
      <w:r w:rsidR="00FD2397" w:rsidRPr="00B13197">
        <w:rPr>
          <w:rFonts w:cs="Times New Roman"/>
          <w:szCs w:val="24"/>
        </w:rPr>
        <w:t>“free</w:t>
      </w:r>
      <w:r w:rsidR="00B13197" w:rsidRPr="00B13197">
        <w:rPr>
          <w:rFonts w:cs="Times New Roman"/>
          <w:szCs w:val="24"/>
        </w:rPr>
        <w:t>.</w:t>
      </w:r>
      <w:r w:rsidR="00117B8C" w:rsidRPr="00B13197">
        <w:rPr>
          <w:rFonts w:cs="Times New Roman"/>
          <w:szCs w:val="24"/>
        </w:rPr>
        <w:t xml:space="preserve">” </w:t>
      </w:r>
      <w:r w:rsidR="00FD2397" w:rsidRPr="00B13197">
        <w:rPr>
          <w:rFonts w:cs="Times New Roman"/>
          <w:szCs w:val="24"/>
        </w:rPr>
        <w:t xml:space="preserve">Even though the Namibian TVWS project offered the government a model that would allow them to completely subsidize the cost of providing </w:t>
      </w:r>
      <w:r w:rsidR="00B13197" w:rsidRPr="00B13197">
        <w:rPr>
          <w:rFonts w:cs="Times New Roman"/>
          <w:szCs w:val="24"/>
        </w:rPr>
        <w:t>Internet</w:t>
      </w:r>
      <w:r w:rsidR="00FD2397" w:rsidRPr="00B13197">
        <w:rPr>
          <w:rFonts w:cs="Times New Roman"/>
          <w:szCs w:val="24"/>
        </w:rPr>
        <w:t xml:space="preserve"> to rural schools</w:t>
      </w:r>
      <w:r w:rsidR="00A769D2" w:rsidRPr="00B13197">
        <w:rPr>
          <w:rFonts w:cs="Times New Roman"/>
          <w:szCs w:val="24"/>
        </w:rPr>
        <w:t xml:space="preserve"> (via ad revenue)</w:t>
      </w:r>
      <w:r w:rsidR="0079271F">
        <w:rPr>
          <w:rFonts w:cs="Times New Roman"/>
          <w:szCs w:val="24"/>
        </w:rPr>
        <w:t>, government officials</w:t>
      </w:r>
      <w:r w:rsidR="00FD2397" w:rsidRPr="00B13197">
        <w:rPr>
          <w:rFonts w:cs="Times New Roman"/>
          <w:szCs w:val="24"/>
        </w:rPr>
        <w:t xml:space="preserve"> were distrustful and uncomprehending </w:t>
      </w:r>
      <w:r w:rsidR="0079271F">
        <w:rPr>
          <w:rFonts w:cs="Times New Roman"/>
          <w:szCs w:val="24"/>
        </w:rPr>
        <w:t xml:space="preserve">of how this could be possible. </w:t>
      </w:r>
      <w:r w:rsidR="00FD2397" w:rsidRPr="00B13197">
        <w:rPr>
          <w:rFonts w:cs="Times New Roman"/>
          <w:szCs w:val="24"/>
        </w:rPr>
        <w:t>Similarly, while it is imperative that connectivity is affordable, offering it at a small cost bestows value on the service in the eyes of its beneficiaries (i.e.</w:t>
      </w:r>
      <w:r w:rsidR="00D01B70" w:rsidRPr="00B13197">
        <w:rPr>
          <w:rFonts w:cs="Times New Roman"/>
          <w:szCs w:val="24"/>
        </w:rPr>
        <w:t xml:space="preserve"> because</w:t>
      </w:r>
      <w:r w:rsidR="00FD2397" w:rsidRPr="00B13197">
        <w:rPr>
          <w:rFonts w:cs="Times New Roman"/>
          <w:szCs w:val="24"/>
        </w:rPr>
        <w:t xml:space="preserve"> </w:t>
      </w:r>
      <w:r w:rsidR="00D01B70" w:rsidRPr="00B13197">
        <w:rPr>
          <w:rFonts w:cs="Times New Roman"/>
          <w:szCs w:val="24"/>
        </w:rPr>
        <w:t>“</w:t>
      </w:r>
      <w:r w:rsidR="00FD2397" w:rsidRPr="00B13197">
        <w:rPr>
          <w:rFonts w:cs="Times New Roman"/>
          <w:szCs w:val="24"/>
        </w:rPr>
        <w:t>nothing free can have value</w:t>
      </w:r>
      <w:r w:rsidR="00D01B70" w:rsidRPr="00B13197">
        <w:rPr>
          <w:rFonts w:cs="Times New Roman"/>
          <w:szCs w:val="24"/>
        </w:rPr>
        <w:t>”</w:t>
      </w:r>
      <w:r w:rsidR="00FD2397" w:rsidRPr="00B13197">
        <w:rPr>
          <w:rFonts w:cs="Times New Roman"/>
          <w:szCs w:val="24"/>
        </w:rPr>
        <w:t>)</w:t>
      </w:r>
      <w:r w:rsidR="00D01B70" w:rsidRPr="00B13197">
        <w:rPr>
          <w:rFonts w:cs="Times New Roman"/>
          <w:szCs w:val="24"/>
        </w:rPr>
        <w:t>.</w:t>
      </w:r>
      <w:r w:rsidR="00FD2397" w:rsidRPr="00B13197">
        <w:rPr>
          <w:rFonts w:cs="Times New Roman"/>
          <w:szCs w:val="24"/>
        </w:rPr>
        <w:t xml:space="preserve"> </w:t>
      </w:r>
    </w:p>
    <w:p w14:paraId="29505FE7" w14:textId="2C3ECDF2" w:rsidR="00F76F5A" w:rsidRDefault="00F76F5A" w:rsidP="000772A4">
      <w:pPr>
        <w:pStyle w:val="Heading1"/>
      </w:pPr>
      <w:r>
        <w:t>Sources</w:t>
      </w:r>
    </w:p>
    <w:p w14:paraId="0B7BECF9" w14:textId="55F84378" w:rsidR="00F76F5A" w:rsidRDefault="00F76F5A" w:rsidP="000772A4">
      <w:pPr>
        <w:spacing w:after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Rowney</w:t>
      </w:r>
      <w:proofErr w:type="spellEnd"/>
      <w:r>
        <w:rPr>
          <w:rFonts w:cs="Times New Roman"/>
          <w:szCs w:val="24"/>
        </w:rPr>
        <w:t>, P. (2017, June 7</w:t>
      </w:r>
      <w:r w:rsidR="000772A4">
        <w:rPr>
          <w:rFonts w:cs="Times New Roman"/>
          <w:szCs w:val="24"/>
        </w:rPr>
        <w:t>). Personal Interview</w:t>
      </w:r>
    </w:p>
    <w:p w14:paraId="30413A85" w14:textId="78487B18" w:rsidR="000772A4" w:rsidRDefault="000772A4" w:rsidP="000772A4">
      <w:pPr>
        <w:spacing w:after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Thanki</w:t>
      </w:r>
      <w:proofErr w:type="spellEnd"/>
      <w:r>
        <w:rPr>
          <w:rFonts w:cs="Times New Roman"/>
          <w:szCs w:val="24"/>
        </w:rPr>
        <w:t xml:space="preserve">, R. (2016) </w:t>
      </w:r>
      <w:r w:rsidRPr="000772A4">
        <w:rPr>
          <w:rFonts w:cs="Times New Roman"/>
          <w:szCs w:val="24"/>
        </w:rPr>
        <w:t>Achieving Universal Broadband</w:t>
      </w:r>
      <w:r>
        <w:rPr>
          <w:rFonts w:cs="Times New Roman"/>
          <w:szCs w:val="24"/>
        </w:rPr>
        <w:t xml:space="preserve"> </w:t>
      </w:r>
      <w:r w:rsidRPr="000772A4">
        <w:rPr>
          <w:rFonts w:cs="Times New Roman"/>
          <w:szCs w:val="24"/>
        </w:rPr>
        <w:t>Connectivity in Namibia</w:t>
      </w:r>
    </w:p>
    <w:p w14:paraId="2FE82CA7" w14:textId="1D338A35" w:rsidR="00477058" w:rsidRDefault="00477058" w:rsidP="00477058">
      <w:p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My Digital Bridge Foundation (2015) </w:t>
      </w:r>
      <w:r w:rsidR="00315F53">
        <w:rPr>
          <w:rFonts w:cs="Times New Roman"/>
          <w:szCs w:val="24"/>
        </w:rPr>
        <w:t>Citizen Connect Final Report</w:t>
      </w:r>
    </w:p>
    <w:p w14:paraId="78F2FF28" w14:textId="4EEB75A6" w:rsidR="00315F53" w:rsidRPr="00477058" w:rsidRDefault="00315F53" w:rsidP="00315F53">
      <w:pPr>
        <w:spacing w:after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Adaptrum</w:t>
      </w:r>
      <w:proofErr w:type="spellEnd"/>
      <w:r>
        <w:rPr>
          <w:rFonts w:cs="Times New Roman"/>
          <w:szCs w:val="24"/>
        </w:rPr>
        <w:t xml:space="preserve"> (2017) </w:t>
      </w:r>
      <w:proofErr w:type="spellStart"/>
      <w:r>
        <w:rPr>
          <w:rFonts w:cs="Times New Roman"/>
          <w:szCs w:val="24"/>
        </w:rPr>
        <w:t>MyDigitalBridge</w:t>
      </w:r>
      <w:proofErr w:type="spellEnd"/>
      <w:r>
        <w:rPr>
          <w:rFonts w:cs="Times New Roman"/>
          <w:szCs w:val="24"/>
        </w:rPr>
        <w:t xml:space="preserve"> </w:t>
      </w:r>
      <w:r w:rsidRPr="00315F53">
        <w:rPr>
          <w:rFonts w:cs="Times New Roman"/>
          <w:szCs w:val="24"/>
        </w:rPr>
        <w:t>Namibia, Africa</w:t>
      </w:r>
      <w:r>
        <w:rPr>
          <w:rFonts w:cs="Times New Roman"/>
          <w:szCs w:val="24"/>
        </w:rPr>
        <w:t xml:space="preserve"> Case Study</w:t>
      </w:r>
    </w:p>
    <w:sectPr w:rsidR="00315F53" w:rsidRPr="00477058" w:rsidSect="007230D2"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D3574" w14:textId="77777777" w:rsidR="000F3396" w:rsidRDefault="000F3396" w:rsidP="00D733CF">
      <w:r>
        <w:separator/>
      </w:r>
    </w:p>
  </w:endnote>
  <w:endnote w:type="continuationSeparator" w:id="0">
    <w:p w14:paraId="44B2399E" w14:textId="77777777" w:rsidR="000F3396" w:rsidRDefault="000F3396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5DCA" w14:textId="77777777" w:rsidR="00FF7464" w:rsidRDefault="00FF7464" w:rsidP="00CF023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F9C81" w14:textId="77777777" w:rsidR="00FF7464" w:rsidRDefault="00FF7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DD916" w14:textId="77777777" w:rsidR="00FF7464" w:rsidRPr="00F76F5A" w:rsidRDefault="00FF7464" w:rsidP="00FC154E">
    <w:pPr>
      <w:pStyle w:val="Footer"/>
      <w:framePr w:wrap="none" w:vAnchor="text" w:hAnchor="margin" w:xAlign="center" w:y="1"/>
      <w:spacing w:after="0"/>
      <w:rPr>
        <w:rStyle w:val="PageNumber"/>
        <w:rFonts w:cs="Times New Roman"/>
        <w:szCs w:val="24"/>
      </w:rPr>
    </w:pPr>
    <w:r w:rsidRPr="00F76F5A">
      <w:rPr>
        <w:rStyle w:val="PageNumber"/>
        <w:rFonts w:cs="Times New Roman"/>
        <w:szCs w:val="24"/>
      </w:rPr>
      <w:fldChar w:fldCharType="begin"/>
    </w:r>
    <w:r w:rsidRPr="00F76F5A">
      <w:rPr>
        <w:rStyle w:val="PageNumber"/>
        <w:rFonts w:cs="Times New Roman"/>
        <w:szCs w:val="24"/>
      </w:rPr>
      <w:instrText xml:space="preserve">PAGE  </w:instrText>
    </w:r>
    <w:r w:rsidRPr="00F76F5A">
      <w:rPr>
        <w:rStyle w:val="PageNumber"/>
        <w:rFonts w:cs="Times New Roman"/>
        <w:szCs w:val="24"/>
      </w:rPr>
      <w:fldChar w:fldCharType="separate"/>
    </w:r>
    <w:r w:rsidR="00095933">
      <w:rPr>
        <w:rStyle w:val="PageNumber"/>
        <w:rFonts w:cs="Times New Roman"/>
        <w:noProof/>
        <w:szCs w:val="24"/>
      </w:rPr>
      <w:t>4</w:t>
    </w:r>
    <w:r w:rsidRPr="00F76F5A">
      <w:rPr>
        <w:rStyle w:val="PageNumber"/>
        <w:rFonts w:cs="Times New Roman"/>
        <w:szCs w:val="24"/>
      </w:rPr>
      <w:fldChar w:fldCharType="end"/>
    </w:r>
  </w:p>
  <w:p w14:paraId="759E4C74" w14:textId="29A3E02C" w:rsidR="00D960A5" w:rsidRPr="00646209" w:rsidRDefault="00D960A5" w:rsidP="00FC154E">
    <w:pPr>
      <w:pStyle w:val="Footer"/>
      <w:spacing w:after="0"/>
      <w:ind w:right="-1150" w:hanging="1080"/>
      <w:jc w:val="center"/>
      <w:rPr>
        <w:sz w:val="3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9C640" w14:textId="77777777" w:rsidR="007C4AD1" w:rsidRPr="00F76F5A" w:rsidRDefault="007C4AD1" w:rsidP="00FC154E">
    <w:pPr>
      <w:pStyle w:val="Footer"/>
      <w:framePr w:wrap="none" w:vAnchor="text" w:hAnchor="margin" w:xAlign="center" w:y="1"/>
      <w:spacing w:after="0"/>
      <w:rPr>
        <w:rStyle w:val="PageNumber"/>
        <w:rFonts w:cs="Times New Roman"/>
        <w:szCs w:val="24"/>
      </w:rPr>
    </w:pPr>
    <w:r w:rsidRPr="00F76F5A">
      <w:rPr>
        <w:rStyle w:val="PageNumber"/>
        <w:rFonts w:cs="Times New Roman"/>
        <w:szCs w:val="24"/>
      </w:rPr>
      <w:fldChar w:fldCharType="begin"/>
    </w:r>
    <w:r w:rsidRPr="00F76F5A">
      <w:rPr>
        <w:rStyle w:val="PageNumber"/>
        <w:rFonts w:cs="Times New Roman"/>
        <w:szCs w:val="24"/>
      </w:rPr>
      <w:instrText xml:space="preserve">PAGE  </w:instrText>
    </w:r>
    <w:r w:rsidRPr="00F76F5A">
      <w:rPr>
        <w:rStyle w:val="PageNumber"/>
        <w:rFonts w:cs="Times New Roman"/>
        <w:szCs w:val="24"/>
      </w:rPr>
      <w:fldChar w:fldCharType="separate"/>
    </w:r>
    <w:r w:rsidR="00095933">
      <w:rPr>
        <w:rStyle w:val="PageNumber"/>
        <w:rFonts w:cs="Times New Roman"/>
        <w:noProof/>
        <w:szCs w:val="24"/>
      </w:rPr>
      <w:t>1</w:t>
    </w:r>
    <w:r w:rsidRPr="00F76F5A">
      <w:rPr>
        <w:rStyle w:val="PageNumber"/>
        <w:rFonts w:cs="Times New Roman"/>
        <w:szCs w:val="24"/>
      </w:rPr>
      <w:fldChar w:fldCharType="end"/>
    </w:r>
  </w:p>
  <w:p w14:paraId="29CA1036" w14:textId="47DCA5CF" w:rsidR="007C4AD1" w:rsidRDefault="007C4AD1" w:rsidP="00FC154E">
    <w:pPr>
      <w:pStyle w:val="Footer"/>
      <w:spacing w:after="0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A1908" w14:textId="77777777" w:rsidR="000F3396" w:rsidRDefault="000F3396" w:rsidP="00D733CF">
      <w:r>
        <w:separator/>
      </w:r>
    </w:p>
  </w:footnote>
  <w:footnote w:type="continuationSeparator" w:id="0">
    <w:p w14:paraId="67CFC83D" w14:textId="77777777" w:rsidR="000F3396" w:rsidRDefault="000F3396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7B4430C6" w:rsidR="00D960A5" w:rsidRDefault="007C4AD1" w:rsidP="007C4AD1">
    <w:pPr>
      <w:pStyle w:val="Header"/>
      <w:tabs>
        <w:tab w:val="clear" w:pos="4680"/>
        <w:tab w:val="clear" w:pos="9360"/>
        <w:tab w:val="left" w:pos="6865"/>
      </w:tabs>
      <w:ind w:right="-1150" w:hanging="1170"/>
      <w:jc w:val="cent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10A0C1A" wp14:editId="46D2D2E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727700" cy="1130300"/>
          <wp:effectExtent l="0" t="0" r="0" b="0"/>
          <wp:wrapTight wrapText="bothSides">
            <wp:wrapPolygon edited="0">
              <wp:start x="1580" y="0"/>
              <wp:lineTo x="1293" y="243"/>
              <wp:lineTo x="335" y="3398"/>
              <wp:lineTo x="0" y="7524"/>
              <wp:lineTo x="0" y="13106"/>
              <wp:lineTo x="96" y="15533"/>
              <wp:lineTo x="718" y="19416"/>
              <wp:lineTo x="766" y="19658"/>
              <wp:lineTo x="1485" y="21357"/>
              <wp:lineTo x="1580" y="21357"/>
              <wp:lineTo x="2682" y="21357"/>
              <wp:lineTo x="2778" y="21357"/>
              <wp:lineTo x="3496" y="19658"/>
              <wp:lineTo x="3496" y="19416"/>
              <wp:lineTo x="21552" y="17717"/>
              <wp:lineTo x="21552" y="4369"/>
              <wp:lineTo x="3975" y="3155"/>
              <wp:lineTo x="3065" y="485"/>
              <wp:lineTo x="2682" y="0"/>
              <wp:lineTo x="1580" y="0"/>
            </wp:wrapPolygon>
          </wp:wrapTight>
          <wp:docPr id="2" name="Picture 2" descr="../One-World-Connecte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One-World-Connecte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B0A23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CB9"/>
    <w:rsid w:val="00003454"/>
    <w:rsid w:val="000127FF"/>
    <w:rsid w:val="0001373B"/>
    <w:rsid w:val="0001651A"/>
    <w:rsid w:val="00017343"/>
    <w:rsid w:val="00021183"/>
    <w:rsid w:val="00036756"/>
    <w:rsid w:val="00056561"/>
    <w:rsid w:val="00064898"/>
    <w:rsid w:val="00066EFB"/>
    <w:rsid w:val="0006710C"/>
    <w:rsid w:val="000772A4"/>
    <w:rsid w:val="0008137B"/>
    <w:rsid w:val="000815B5"/>
    <w:rsid w:val="00083742"/>
    <w:rsid w:val="000949C8"/>
    <w:rsid w:val="00095933"/>
    <w:rsid w:val="000D6F63"/>
    <w:rsid w:val="000D7035"/>
    <w:rsid w:val="000D7B6C"/>
    <w:rsid w:val="000E7657"/>
    <w:rsid w:val="000F29C0"/>
    <w:rsid w:val="000F3396"/>
    <w:rsid w:val="000F515E"/>
    <w:rsid w:val="00100332"/>
    <w:rsid w:val="00110008"/>
    <w:rsid w:val="00111E59"/>
    <w:rsid w:val="001149DA"/>
    <w:rsid w:val="00117B8C"/>
    <w:rsid w:val="00117D2D"/>
    <w:rsid w:val="00135372"/>
    <w:rsid w:val="001569B3"/>
    <w:rsid w:val="0016070C"/>
    <w:rsid w:val="00183D67"/>
    <w:rsid w:val="0019395C"/>
    <w:rsid w:val="00193CB8"/>
    <w:rsid w:val="00196961"/>
    <w:rsid w:val="001A00CF"/>
    <w:rsid w:val="001A13C3"/>
    <w:rsid w:val="001B3455"/>
    <w:rsid w:val="001B532E"/>
    <w:rsid w:val="001C241A"/>
    <w:rsid w:val="001C5B77"/>
    <w:rsid w:val="001C74BF"/>
    <w:rsid w:val="001D476E"/>
    <w:rsid w:val="001E2C3C"/>
    <w:rsid w:val="002026AD"/>
    <w:rsid w:val="00213EA3"/>
    <w:rsid w:val="00224287"/>
    <w:rsid w:val="00225828"/>
    <w:rsid w:val="0023085B"/>
    <w:rsid w:val="00233122"/>
    <w:rsid w:val="002429CF"/>
    <w:rsid w:val="00243C26"/>
    <w:rsid w:val="002612C5"/>
    <w:rsid w:val="00263CC8"/>
    <w:rsid w:val="002728A2"/>
    <w:rsid w:val="00273C3D"/>
    <w:rsid w:val="00283653"/>
    <w:rsid w:val="00284554"/>
    <w:rsid w:val="00286CB9"/>
    <w:rsid w:val="00296F12"/>
    <w:rsid w:val="002A5786"/>
    <w:rsid w:val="002B2E71"/>
    <w:rsid w:val="002B55D2"/>
    <w:rsid w:val="002C0B07"/>
    <w:rsid w:val="002C60F8"/>
    <w:rsid w:val="002C78A0"/>
    <w:rsid w:val="002D36E1"/>
    <w:rsid w:val="002D5221"/>
    <w:rsid w:val="002E1BE9"/>
    <w:rsid w:val="002E77F9"/>
    <w:rsid w:val="002F107D"/>
    <w:rsid w:val="002F4B29"/>
    <w:rsid w:val="00302EDE"/>
    <w:rsid w:val="00304BA9"/>
    <w:rsid w:val="00305166"/>
    <w:rsid w:val="0031042E"/>
    <w:rsid w:val="00310508"/>
    <w:rsid w:val="003105F2"/>
    <w:rsid w:val="00315F53"/>
    <w:rsid w:val="00325562"/>
    <w:rsid w:val="003318E6"/>
    <w:rsid w:val="00334747"/>
    <w:rsid w:val="00335AF0"/>
    <w:rsid w:val="00336E0D"/>
    <w:rsid w:val="00337D6F"/>
    <w:rsid w:val="0037517E"/>
    <w:rsid w:val="003779DB"/>
    <w:rsid w:val="003810F9"/>
    <w:rsid w:val="00384809"/>
    <w:rsid w:val="00393E4D"/>
    <w:rsid w:val="003A1019"/>
    <w:rsid w:val="003A2456"/>
    <w:rsid w:val="003A7469"/>
    <w:rsid w:val="003B687F"/>
    <w:rsid w:val="003D19AD"/>
    <w:rsid w:val="003F192A"/>
    <w:rsid w:val="003F5DB0"/>
    <w:rsid w:val="00400D62"/>
    <w:rsid w:val="00420F72"/>
    <w:rsid w:val="00421731"/>
    <w:rsid w:val="00423189"/>
    <w:rsid w:val="004339DB"/>
    <w:rsid w:val="004436C0"/>
    <w:rsid w:val="00444FCC"/>
    <w:rsid w:val="00456F32"/>
    <w:rsid w:val="00460B32"/>
    <w:rsid w:val="0046282B"/>
    <w:rsid w:val="0047094F"/>
    <w:rsid w:val="00471412"/>
    <w:rsid w:val="00474EB0"/>
    <w:rsid w:val="00475BD0"/>
    <w:rsid w:val="00477058"/>
    <w:rsid w:val="004A65FB"/>
    <w:rsid w:val="004A77E6"/>
    <w:rsid w:val="004A7D76"/>
    <w:rsid w:val="004B1DC5"/>
    <w:rsid w:val="004C4A6B"/>
    <w:rsid w:val="004D0FB0"/>
    <w:rsid w:val="004D451F"/>
    <w:rsid w:val="004E4BEB"/>
    <w:rsid w:val="004E797E"/>
    <w:rsid w:val="004F48E1"/>
    <w:rsid w:val="004F69EC"/>
    <w:rsid w:val="004F6CB8"/>
    <w:rsid w:val="00515373"/>
    <w:rsid w:val="0052368C"/>
    <w:rsid w:val="00530D6E"/>
    <w:rsid w:val="0053150C"/>
    <w:rsid w:val="00543F60"/>
    <w:rsid w:val="00551F16"/>
    <w:rsid w:val="00561EC8"/>
    <w:rsid w:val="0056314B"/>
    <w:rsid w:val="00566496"/>
    <w:rsid w:val="005736F5"/>
    <w:rsid w:val="00580AF7"/>
    <w:rsid w:val="00590513"/>
    <w:rsid w:val="005A3AEF"/>
    <w:rsid w:val="005B397F"/>
    <w:rsid w:val="005C2997"/>
    <w:rsid w:val="005D530D"/>
    <w:rsid w:val="005E219B"/>
    <w:rsid w:val="005F328B"/>
    <w:rsid w:val="00607A2E"/>
    <w:rsid w:val="00613D03"/>
    <w:rsid w:val="00613FBA"/>
    <w:rsid w:val="0061646D"/>
    <w:rsid w:val="0063000A"/>
    <w:rsid w:val="00642E1F"/>
    <w:rsid w:val="00646209"/>
    <w:rsid w:val="00647FBD"/>
    <w:rsid w:val="0065158B"/>
    <w:rsid w:val="00661004"/>
    <w:rsid w:val="006664E5"/>
    <w:rsid w:val="00672730"/>
    <w:rsid w:val="00672A0B"/>
    <w:rsid w:val="00692C66"/>
    <w:rsid w:val="00695B18"/>
    <w:rsid w:val="006B5449"/>
    <w:rsid w:val="006B6222"/>
    <w:rsid w:val="006C26E6"/>
    <w:rsid w:val="006C2913"/>
    <w:rsid w:val="006C72FB"/>
    <w:rsid w:val="006D14DB"/>
    <w:rsid w:val="006E2904"/>
    <w:rsid w:val="006E3BAB"/>
    <w:rsid w:val="006E6039"/>
    <w:rsid w:val="006E694E"/>
    <w:rsid w:val="00700890"/>
    <w:rsid w:val="0070317B"/>
    <w:rsid w:val="00706851"/>
    <w:rsid w:val="0071155C"/>
    <w:rsid w:val="007230D2"/>
    <w:rsid w:val="007331E0"/>
    <w:rsid w:val="007333E3"/>
    <w:rsid w:val="00740ABD"/>
    <w:rsid w:val="00747AE2"/>
    <w:rsid w:val="00765457"/>
    <w:rsid w:val="007701E0"/>
    <w:rsid w:val="00786CB8"/>
    <w:rsid w:val="0079271F"/>
    <w:rsid w:val="00796E05"/>
    <w:rsid w:val="007A4AD5"/>
    <w:rsid w:val="007B3DAC"/>
    <w:rsid w:val="007C4AD1"/>
    <w:rsid w:val="007E6EB6"/>
    <w:rsid w:val="007F1DAE"/>
    <w:rsid w:val="0080684D"/>
    <w:rsid w:val="00812382"/>
    <w:rsid w:val="0082414B"/>
    <w:rsid w:val="00824CBD"/>
    <w:rsid w:val="00827BD3"/>
    <w:rsid w:val="008300A2"/>
    <w:rsid w:val="0083193F"/>
    <w:rsid w:val="0083202D"/>
    <w:rsid w:val="00832530"/>
    <w:rsid w:val="008507F7"/>
    <w:rsid w:val="00855297"/>
    <w:rsid w:val="0086277C"/>
    <w:rsid w:val="00891A90"/>
    <w:rsid w:val="008945A6"/>
    <w:rsid w:val="008B2B48"/>
    <w:rsid w:val="008B621D"/>
    <w:rsid w:val="008C29CB"/>
    <w:rsid w:val="008D121C"/>
    <w:rsid w:val="008F34C2"/>
    <w:rsid w:val="008F452D"/>
    <w:rsid w:val="008F6A61"/>
    <w:rsid w:val="009104BD"/>
    <w:rsid w:val="009125CC"/>
    <w:rsid w:val="00914C1D"/>
    <w:rsid w:val="00916B3D"/>
    <w:rsid w:val="00927A2A"/>
    <w:rsid w:val="0093552C"/>
    <w:rsid w:val="009473C7"/>
    <w:rsid w:val="009526E0"/>
    <w:rsid w:val="00955352"/>
    <w:rsid w:val="00963208"/>
    <w:rsid w:val="009A5A6E"/>
    <w:rsid w:val="009A6F2C"/>
    <w:rsid w:val="009C0FCD"/>
    <w:rsid w:val="009C3497"/>
    <w:rsid w:val="009D4DB6"/>
    <w:rsid w:val="009F503B"/>
    <w:rsid w:val="00A023B8"/>
    <w:rsid w:val="00A0495D"/>
    <w:rsid w:val="00A23F0C"/>
    <w:rsid w:val="00A24446"/>
    <w:rsid w:val="00A35CA2"/>
    <w:rsid w:val="00A42B76"/>
    <w:rsid w:val="00A436E0"/>
    <w:rsid w:val="00A43B9F"/>
    <w:rsid w:val="00A51FF9"/>
    <w:rsid w:val="00A5541B"/>
    <w:rsid w:val="00A61822"/>
    <w:rsid w:val="00A769D2"/>
    <w:rsid w:val="00A93098"/>
    <w:rsid w:val="00A931B9"/>
    <w:rsid w:val="00A9751A"/>
    <w:rsid w:val="00AA42DD"/>
    <w:rsid w:val="00AA54B5"/>
    <w:rsid w:val="00AA5532"/>
    <w:rsid w:val="00AA7D7E"/>
    <w:rsid w:val="00AD0676"/>
    <w:rsid w:val="00AF7033"/>
    <w:rsid w:val="00B102CB"/>
    <w:rsid w:val="00B13197"/>
    <w:rsid w:val="00B14B4A"/>
    <w:rsid w:val="00B231F7"/>
    <w:rsid w:val="00B23899"/>
    <w:rsid w:val="00B433DD"/>
    <w:rsid w:val="00B511AF"/>
    <w:rsid w:val="00B53BC7"/>
    <w:rsid w:val="00B67A60"/>
    <w:rsid w:val="00B71B8A"/>
    <w:rsid w:val="00B7789D"/>
    <w:rsid w:val="00B87191"/>
    <w:rsid w:val="00B941B9"/>
    <w:rsid w:val="00BC126C"/>
    <w:rsid w:val="00BE3C60"/>
    <w:rsid w:val="00C03B55"/>
    <w:rsid w:val="00C046C6"/>
    <w:rsid w:val="00C05C42"/>
    <w:rsid w:val="00C0671D"/>
    <w:rsid w:val="00C134C1"/>
    <w:rsid w:val="00C13A18"/>
    <w:rsid w:val="00C20CD3"/>
    <w:rsid w:val="00C26A62"/>
    <w:rsid w:val="00C30C48"/>
    <w:rsid w:val="00C546F4"/>
    <w:rsid w:val="00C5470C"/>
    <w:rsid w:val="00C55B09"/>
    <w:rsid w:val="00C56681"/>
    <w:rsid w:val="00C607FB"/>
    <w:rsid w:val="00C67C89"/>
    <w:rsid w:val="00C7039A"/>
    <w:rsid w:val="00C75ED4"/>
    <w:rsid w:val="00C77B6E"/>
    <w:rsid w:val="00C84E7E"/>
    <w:rsid w:val="00C96145"/>
    <w:rsid w:val="00CA1D89"/>
    <w:rsid w:val="00CA7512"/>
    <w:rsid w:val="00CB3FD0"/>
    <w:rsid w:val="00CB480C"/>
    <w:rsid w:val="00CB5A4F"/>
    <w:rsid w:val="00CB76A3"/>
    <w:rsid w:val="00CC76A6"/>
    <w:rsid w:val="00CD1BE9"/>
    <w:rsid w:val="00CD24AB"/>
    <w:rsid w:val="00CE0405"/>
    <w:rsid w:val="00CE2193"/>
    <w:rsid w:val="00CE2EF9"/>
    <w:rsid w:val="00CE5E61"/>
    <w:rsid w:val="00D01B70"/>
    <w:rsid w:val="00D15B20"/>
    <w:rsid w:val="00D30C5A"/>
    <w:rsid w:val="00D325C8"/>
    <w:rsid w:val="00D34AC5"/>
    <w:rsid w:val="00D53C90"/>
    <w:rsid w:val="00D63EB7"/>
    <w:rsid w:val="00D7088B"/>
    <w:rsid w:val="00D733CF"/>
    <w:rsid w:val="00D921A9"/>
    <w:rsid w:val="00D960A5"/>
    <w:rsid w:val="00DB0DAE"/>
    <w:rsid w:val="00DB7D50"/>
    <w:rsid w:val="00DC488D"/>
    <w:rsid w:val="00DD46B8"/>
    <w:rsid w:val="00DD7477"/>
    <w:rsid w:val="00DE59AD"/>
    <w:rsid w:val="00E00575"/>
    <w:rsid w:val="00E12846"/>
    <w:rsid w:val="00E230DC"/>
    <w:rsid w:val="00E23C9F"/>
    <w:rsid w:val="00E336F4"/>
    <w:rsid w:val="00E42681"/>
    <w:rsid w:val="00E431D1"/>
    <w:rsid w:val="00E6221A"/>
    <w:rsid w:val="00E82CA6"/>
    <w:rsid w:val="00EA1814"/>
    <w:rsid w:val="00EA7B65"/>
    <w:rsid w:val="00EB2A73"/>
    <w:rsid w:val="00EB3359"/>
    <w:rsid w:val="00EB6C22"/>
    <w:rsid w:val="00EB70BA"/>
    <w:rsid w:val="00ED0311"/>
    <w:rsid w:val="00EE1E6E"/>
    <w:rsid w:val="00EF3E28"/>
    <w:rsid w:val="00EF5861"/>
    <w:rsid w:val="00EF6A4E"/>
    <w:rsid w:val="00EF6A90"/>
    <w:rsid w:val="00F0733E"/>
    <w:rsid w:val="00F16847"/>
    <w:rsid w:val="00F23AEB"/>
    <w:rsid w:val="00F25758"/>
    <w:rsid w:val="00F52CB1"/>
    <w:rsid w:val="00F6004F"/>
    <w:rsid w:val="00F76F5A"/>
    <w:rsid w:val="00F77933"/>
    <w:rsid w:val="00F822EA"/>
    <w:rsid w:val="00F8451B"/>
    <w:rsid w:val="00F9780F"/>
    <w:rsid w:val="00FA0094"/>
    <w:rsid w:val="00FA13DD"/>
    <w:rsid w:val="00FA49C8"/>
    <w:rsid w:val="00FB0AB3"/>
    <w:rsid w:val="00FC154E"/>
    <w:rsid w:val="00FC3263"/>
    <w:rsid w:val="00FC54EF"/>
    <w:rsid w:val="00FD2397"/>
    <w:rsid w:val="00FD4CA1"/>
    <w:rsid w:val="00FD5725"/>
    <w:rsid w:val="00FD6DED"/>
    <w:rsid w:val="00FE445A"/>
    <w:rsid w:val="00FE7F58"/>
    <w:rsid w:val="00FF320E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6F5A"/>
    <w:pPr>
      <w:spacing w:after="120"/>
    </w:pPr>
    <w:rPr>
      <w:rFonts w:ascii="Times New Roman" w:eastAsiaTheme="minorEastAsia" w:hAnsi="Times New Roman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6F5A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Georgia" w:eastAsiaTheme="majorEastAsia" w:hAnsi="Georgia" w:cstheme="majorBidi"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autoRedefine/>
    <w:uiPriority w:val="10"/>
    <w:qFormat/>
    <w:rsid w:val="00FC154E"/>
    <w:pPr>
      <w:spacing w:after="0"/>
      <w:contextualSpacing/>
      <w:jc w:val="center"/>
    </w:pPr>
    <w:rPr>
      <w:rFonts w:ascii="Palatino Linotype" w:eastAsiaTheme="majorEastAsia" w:hAnsi="Palatino Linotype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4E"/>
    <w:rPr>
      <w:rFonts w:ascii="Palatino Linotype" w:eastAsiaTheme="majorEastAsia" w:hAnsi="Palatino Linotype" w:cstheme="majorBidi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6F5A"/>
    <w:rPr>
      <w:rFonts w:ascii="Georgia" w:eastAsiaTheme="majorEastAsia" w:hAnsi="Georgia" w:cstheme="majorBidi"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Strong">
    <w:name w:val="Strong"/>
    <w:basedOn w:val="DefaultParagraphFont"/>
    <w:uiPriority w:val="22"/>
    <w:qFormat/>
    <w:rsid w:val="004217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B0DA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44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FC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FCC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FCC"/>
    <w:rPr>
      <w:rFonts w:eastAsiaTheme="minorEastAsia"/>
      <w:b/>
      <w:bCs/>
      <w:sz w:val="20"/>
      <w:szCs w:val="20"/>
      <w:lang w:eastAsia="ja-JP"/>
    </w:rPr>
  </w:style>
  <w:style w:type="paragraph" w:styleId="NoSpacing">
    <w:name w:val="No Spacing"/>
    <w:uiPriority w:val="1"/>
    <w:qFormat/>
    <w:rsid w:val="0047094F"/>
    <w:rPr>
      <w:rFonts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B95463-E25F-EF44-BC93-DE452810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 Srinivasan</dc:creator>
  <cp:lastModifiedBy>Sharada Srinivasan</cp:lastModifiedBy>
  <cp:revision>17</cp:revision>
  <cp:lastPrinted>2016-10-19T17:29:00Z</cp:lastPrinted>
  <dcterms:created xsi:type="dcterms:W3CDTF">2018-01-03T02:20:00Z</dcterms:created>
  <dcterms:modified xsi:type="dcterms:W3CDTF">2019-07-30T19:36:00Z</dcterms:modified>
</cp:coreProperties>
</file>