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3ABD" w14:textId="4277363B" w:rsidR="00EC6760" w:rsidRDefault="00B37D0F" w:rsidP="00B37D0F">
      <w:pPr>
        <w:pStyle w:val="Title"/>
        <w:spacing w:after="0" w:line="240" w:lineRule="auto"/>
        <w:contextualSpacing w:val="0"/>
        <w:jc w:val="center"/>
        <w:rPr>
          <w:rFonts w:ascii="Palatino Linotype" w:eastAsia="Palatino" w:hAnsi="Palatino Linotype" w:cs="Palatino"/>
        </w:rPr>
      </w:pPr>
      <w:r w:rsidRPr="00B37D0F">
        <w:rPr>
          <w:rFonts w:ascii="Palatino Linotype" w:eastAsia="Palatino" w:hAnsi="Palatino Linotype" w:cs="Palatino"/>
        </w:rPr>
        <w:t xml:space="preserve">ONLINE VIDYALAYA </w:t>
      </w:r>
    </w:p>
    <w:p w14:paraId="3F4603C2" w14:textId="77777777" w:rsidR="000E6E16" w:rsidRDefault="00B37D0F" w:rsidP="000E6E16">
      <w:pPr>
        <w:pStyle w:val="Title"/>
        <w:spacing w:after="0" w:line="240" w:lineRule="auto"/>
        <w:contextualSpacing w:val="0"/>
        <w:jc w:val="center"/>
        <w:rPr>
          <w:rFonts w:ascii="Calibri Light" w:hAnsi="Calibri Light" w:cs="Calibri Light"/>
          <w:sz w:val="36"/>
          <w:szCs w:val="36"/>
        </w:rPr>
      </w:pPr>
      <w:r w:rsidRPr="00B37D0F">
        <w:rPr>
          <w:rFonts w:ascii="Calibri Light" w:hAnsi="Calibri Light" w:cs="Calibri Light"/>
          <w:sz w:val="36"/>
          <w:szCs w:val="36"/>
        </w:rPr>
        <w:t xml:space="preserve">PROVIDING FREE ONLINE EDUCATION AND DIGITAL LITERACY MATERIALS FOR STUDENTS </w:t>
      </w:r>
    </w:p>
    <w:p w14:paraId="72684BF9" w14:textId="71DCD0E0" w:rsidR="00B37D0F" w:rsidRPr="00B37D0F" w:rsidRDefault="00B37D0F" w:rsidP="000E6E16">
      <w:pPr>
        <w:pStyle w:val="Title"/>
        <w:spacing w:after="120" w:line="240" w:lineRule="auto"/>
        <w:contextualSpacing w:val="0"/>
        <w:jc w:val="center"/>
        <w:rPr>
          <w:rFonts w:ascii="Calibri Light" w:hAnsi="Calibri Light" w:cs="Calibri Light"/>
          <w:sz w:val="36"/>
          <w:szCs w:val="36"/>
        </w:rPr>
      </w:pPr>
      <w:r w:rsidRPr="00B37D0F">
        <w:rPr>
          <w:rFonts w:ascii="Calibri Light" w:hAnsi="Calibri Light" w:cs="Calibri Light"/>
          <w:sz w:val="36"/>
          <w:szCs w:val="36"/>
        </w:rPr>
        <w:t>IN RURAL NEPAL</w:t>
      </w:r>
    </w:p>
    <w:p w14:paraId="75097A34" w14:textId="48BC10C9" w:rsidR="00EC6760" w:rsidRPr="00027C78" w:rsidRDefault="00D929DF" w:rsidP="00027C78">
      <w:pPr>
        <w:pStyle w:val="Normal1"/>
        <w:spacing w:after="120" w:line="240" w:lineRule="auto"/>
        <w:jc w:val="center"/>
        <w:rPr>
          <w:rFonts w:ascii="Times New Roman" w:hAnsi="Times New Roman" w:cs="Times New Roman"/>
          <w:sz w:val="24"/>
        </w:rPr>
      </w:pPr>
      <w:r w:rsidRPr="008F7BCC">
        <w:rPr>
          <w:noProof/>
        </w:rPr>
        <w:drawing>
          <wp:inline distT="0" distB="0" distL="0" distR="0" wp14:anchorId="0E370C37" wp14:editId="70DC565F">
            <wp:extent cx="5660571" cy="3532414"/>
            <wp:effectExtent l="0" t="0" r="381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664182" cy="3534667"/>
                    </a:xfrm>
                    <a:prstGeom prst="rect">
                      <a:avLst/>
                    </a:prstGeom>
                    <a:ln/>
                  </pic:spPr>
                </pic:pic>
              </a:graphicData>
            </a:graphic>
          </wp:inline>
        </w:drawing>
      </w:r>
      <w:r w:rsidR="000E6E16">
        <w:rPr>
          <w:rFonts w:ascii="Times New Roman" w:hAnsi="Times New Roman" w:cs="Times New Roman"/>
          <w:i/>
          <w:sz w:val="24"/>
        </w:rPr>
        <w:t>Students of Online Vidyalaya, Nepal.</w:t>
      </w:r>
      <w:r w:rsidRPr="00027C78">
        <w:rPr>
          <w:rFonts w:ascii="Times New Roman" w:hAnsi="Times New Roman" w:cs="Times New Roman"/>
          <w:i/>
          <w:sz w:val="24"/>
        </w:rPr>
        <w:t xml:space="preserve"> Photo credit: Online Vidyalaya</w:t>
      </w:r>
    </w:p>
    <w:p w14:paraId="07A21AEC" w14:textId="77777777" w:rsidR="00EC6760" w:rsidRPr="00046D6F" w:rsidRDefault="00D929DF" w:rsidP="00046D6F">
      <w:pPr>
        <w:pStyle w:val="Heading1"/>
      </w:pPr>
      <w:r w:rsidRPr="00046D6F">
        <w:t xml:space="preserve">Executive Summary </w:t>
      </w:r>
    </w:p>
    <w:p w14:paraId="70EF974A" w14:textId="292139B4" w:rsidR="00EC6760" w:rsidRDefault="00D929DF"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Online Vidyalaya is part of a 2014 initiative called “Internet – Past and Future – The Tool for Education Revolution</w:t>
      </w:r>
      <w:r w:rsidR="008910BE">
        <w:rPr>
          <w:rFonts w:ascii="Times New Roman" w:eastAsia="Times New Roman" w:hAnsi="Times New Roman" w:cs="Times New Roman"/>
          <w:sz w:val="24"/>
          <w:szCs w:val="24"/>
        </w:rPr>
        <w:t>,</w:t>
      </w:r>
      <w:r w:rsidRPr="008F7BCC">
        <w:rPr>
          <w:rFonts w:ascii="Times New Roman" w:eastAsia="Times New Roman" w:hAnsi="Times New Roman" w:cs="Times New Roman"/>
          <w:sz w:val="24"/>
          <w:szCs w:val="24"/>
        </w:rPr>
        <w:t>” which sought to bring digital literacy and e-learning tools to underserved students in th</w:t>
      </w:r>
      <w:r w:rsidR="008910BE">
        <w:rPr>
          <w:rFonts w:ascii="Times New Roman" w:eastAsia="Times New Roman" w:hAnsi="Times New Roman" w:cs="Times New Roman"/>
          <w:sz w:val="24"/>
          <w:szCs w:val="24"/>
        </w:rPr>
        <w:t xml:space="preserve">e mountainous region of Nepal. </w:t>
      </w:r>
      <w:r w:rsidR="000E6E16">
        <w:rPr>
          <w:rFonts w:ascii="Times New Roman" w:eastAsia="Times New Roman" w:hAnsi="Times New Roman" w:cs="Times New Roman"/>
          <w:sz w:val="24"/>
          <w:szCs w:val="24"/>
        </w:rPr>
        <w:t>T</w:t>
      </w:r>
      <w:r w:rsidRPr="008F7BCC">
        <w:rPr>
          <w:rFonts w:ascii="Times New Roman" w:eastAsia="Times New Roman" w:hAnsi="Times New Roman" w:cs="Times New Roman"/>
          <w:sz w:val="24"/>
          <w:szCs w:val="24"/>
        </w:rPr>
        <w:t>raining was provided to 43 teachers and 360 stu</w:t>
      </w:r>
      <w:r w:rsidR="008910BE">
        <w:rPr>
          <w:rFonts w:ascii="Times New Roman" w:eastAsia="Times New Roman" w:hAnsi="Times New Roman" w:cs="Times New Roman"/>
          <w:sz w:val="24"/>
          <w:szCs w:val="24"/>
        </w:rPr>
        <w:t>dents from grades 8, 9, and 10</w:t>
      </w:r>
      <w:r w:rsidR="000E6E16">
        <w:rPr>
          <w:rFonts w:ascii="Times New Roman" w:eastAsia="Times New Roman" w:hAnsi="Times New Roman" w:cs="Times New Roman"/>
          <w:sz w:val="24"/>
          <w:szCs w:val="24"/>
        </w:rPr>
        <w:t xml:space="preserve"> in ten schools in rural Nepal</w:t>
      </w:r>
      <w:r w:rsidR="008910BE">
        <w:rPr>
          <w:rFonts w:ascii="Times New Roman" w:eastAsia="Times New Roman" w:hAnsi="Times New Roman" w:cs="Times New Roman"/>
          <w:sz w:val="24"/>
          <w:szCs w:val="24"/>
        </w:rPr>
        <w:t>.</w:t>
      </w:r>
      <w:r w:rsidRPr="008F7BCC">
        <w:rPr>
          <w:rFonts w:ascii="Times New Roman" w:eastAsia="Times New Roman" w:hAnsi="Times New Roman" w:cs="Times New Roman"/>
          <w:sz w:val="24"/>
          <w:szCs w:val="24"/>
        </w:rPr>
        <w:t xml:space="preserve"> The project also provided a web applicatio</w:t>
      </w:r>
      <w:r w:rsidR="008910BE">
        <w:rPr>
          <w:rFonts w:ascii="Times New Roman" w:eastAsia="Times New Roman" w:hAnsi="Times New Roman" w:cs="Times New Roman"/>
          <w:sz w:val="24"/>
          <w:szCs w:val="24"/>
        </w:rPr>
        <w:t xml:space="preserve">n, onlinevidyalaya.org (meaning “online </w:t>
      </w:r>
      <w:r w:rsidRPr="008F7BCC">
        <w:rPr>
          <w:rFonts w:ascii="Times New Roman" w:eastAsia="Times New Roman" w:hAnsi="Times New Roman" w:cs="Times New Roman"/>
          <w:sz w:val="24"/>
          <w:szCs w:val="24"/>
        </w:rPr>
        <w:t>school”</w:t>
      </w:r>
      <w:r w:rsidR="008910BE">
        <w:rPr>
          <w:rFonts w:ascii="Times New Roman" w:eastAsia="Times New Roman" w:hAnsi="Times New Roman" w:cs="Times New Roman"/>
          <w:sz w:val="24"/>
          <w:szCs w:val="24"/>
        </w:rPr>
        <w:t xml:space="preserve"> in Nepalese), which offered students e-b</w:t>
      </w:r>
      <w:r w:rsidR="000E6E16">
        <w:rPr>
          <w:rFonts w:ascii="Times New Roman" w:eastAsia="Times New Roman" w:hAnsi="Times New Roman" w:cs="Times New Roman"/>
          <w:sz w:val="24"/>
          <w:szCs w:val="24"/>
        </w:rPr>
        <w:t xml:space="preserve">ooks and curated lessons </w:t>
      </w:r>
      <w:r w:rsidRPr="008F7BCC">
        <w:rPr>
          <w:rFonts w:ascii="Times New Roman" w:eastAsia="Times New Roman" w:hAnsi="Times New Roman" w:cs="Times New Roman"/>
          <w:sz w:val="24"/>
          <w:szCs w:val="24"/>
        </w:rPr>
        <w:t xml:space="preserve">from YouTube that would be </w:t>
      </w:r>
      <w:r w:rsidR="008910BE">
        <w:rPr>
          <w:rFonts w:ascii="Times New Roman" w:eastAsia="Times New Roman" w:hAnsi="Times New Roman" w:cs="Times New Roman"/>
          <w:sz w:val="24"/>
          <w:szCs w:val="24"/>
        </w:rPr>
        <w:t xml:space="preserve">advantageous to the students. </w:t>
      </w:r>
      <w:r w:rsidRPr="008F7BCC">
        <w:rPr>
          <w:rFonts w:ascii="Times New Roman" w:eastAsia="Times New Roman" w:hAnsi="Times New Roman" w:cs="Times New Roman"/>
          <w:sz w:val="24"/>
          <w:szCs w:val="24"/>
        </w:rPr>
        <w:t>Online Vidyalaya is an example of using technology to increase digital literacy and access to materials for students in remote, under-resourced regions.</w:t>
      </w:r>
    </w:p>
    <w:p w14:paraId="31054C8C" w14:textId="77777777" w:rsidR="000E6E16" w:rsidRPr="008F7BCC" w:rsidRDefault="000E6E16" w:rsidP="00B37D0F">
      <w:pPr>
        <w:pStyle w:val="Normal1"/>
        <w:spacing w:after="120" w:line="240" w:lineRule="auto"/>
        <w:jc w:val="both"/>
        <w:rPr>
          <w:rFonts w:ascii="Times New Roman" w:eastAsia="Times New Roman" w:hAnsi="Times New Roman" w:cs="Times New Roman"/>
          <w:sz w:val="24"/>
          <w:szCs w:val="24"/>
        </w:rPr>
      </w:pPr>
    </w:p>
    <w:p w14:paraId="3AC24B1F" w14:textId="36C2E261" w:rsidR="00EC6760" w:rsidRPr="000E6E16" w:rsidRDefault="00294DA6" w:rsidP="000E6E16">
      <w:pPr>
        <w:pStyle w:val="Normal1"/>
        <w:spacing w:after="120" w:line="240" w:lineRule="auto"/>
        <w:jc w:val="both"/>
        <w:rPr>
          <w:rFonts w:ascii="Times New Roman" w:eastAsia="Times New Roman" w:hAnsi="Times New Roman" w:cs="Times New Roman"/>
          <w:i/>
          <w:sz w:val="24"/>
          <w:szCs w:val="24"/>
        </w:rPr>
      </w:pPr>
      <w:r w:rsidRPr="008F7BCC">
        <w:rPr>
          <w:rFonts w:ascii="Times New Roman" w:eastAsia="Times New Roman" w:hAnsi="Times New Roman" w:cs="Times New Roman"/>
          <w:i/>
          <w:sz w:val="24"/>
          <w:szCs w:val="24"/>
        </w:rPr>
        <w:t xml:space="preserve">Keywords: education, digital literacy, rural, Nepal </w:t>
      </w:r>
    </w:p>
    <w:p w14:paraId="53D18914" w14:textId="77777777" w:rsidR="008F7BCC" w:rsidRDefault="008F7BCC" w:rsidP="00B37D0F">
      <w:pPr>
        <w:spacing w:after="120" w:line="240" w:lineRule="auto"/>
        <w:rPr>
          <w:rFonts w:ascii="Georgia" w:eastAsia="Georgia" w:hAnsi="Georgia" w:cs="Georgia"/>
          <w:smallCaps/>
          <w:sz w:val="36"/>
          <w:szCs w:val="36"/>
        </w:rPr>
      </w:pPr>
      <w:r>
        <w:rPr>
          <w:rFonts w:ascii="Georgia" w:eastAsia="Georgia" w:hAnsi="Georgia" w:cs="Georgia"/>
          <w:b/>
        </w:rPr>
        <w:br w:type="page"/>
      </w:r>
    </w:p>
    <w:p w14:paraId="4AC8B1BD" w14:textId="21E7C732" w:rsidR="00EC6760" w:rsidRPr="008F7BCC" w:rsidRDefault="00D929DF" w:rsidP="00046D6F">
      <w:pPr>
        <w:pStyle w:val="Heading1"/>
        <w:rPr>
          <w:b/>
        </w:rPr>
      </w:pPr>
      <w:r w:rsidRPr="008F7BCC">
        <w:lastRenderedPageBreak/>
        <w:t>Context</w:t>
      </w:r>
    </w:p>
    <w:p w14:paraId="05CEC155" w14:textId="3D3568EC" w:rsidR="00EC6760" w:rsidRPr="008F7BCC" w:rsidRDefault="00011670" w:rsidP="00B37D0F">
      <w:pPr>
        <w:pStyle w:val="Normal1"/>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highlight w:val="white"/>
        </w:rPr>
        <w:t>Nepal witnessed</w:t>
      </w:r>
      <w:r w:rsidR="00D929DF" w:rsidRPr="008F7BCC">
        <w:rPr>
          <w:rFonts w:ascii="Times New Roman" w:eastAsia="Times New Roman" w:hAnsi="Times New Roman" w:cs="Times New Roman"/>
          <w:color w:val="1D2129"/>
          <w:sz w:val="24"/>
          <w:szCs w:val="24"/>
          <w:highlight w:val="white"/>
        </w:rPr>
        <w:t xml:space="preserve"> </w:t>
      </w:r>
      <w:r>
        <w:rPr>
          <w:rFonts w:ascii="Times New Roman" w:eastAsia="Times New Roman" w:hAnsi="Times New Roman" w:cs="Times New Roman"/>
          <w:color w:val="1D2129"/>
          <w:sz w:val="24"/>
          <w:szCs w:val="24"/>
          <w:highlight w:val="white"/>
        </w:rPr>
        <w:t>17</w:t>
      </w:r>
      <w:r w:rsidR="00D929DF" w:rsidRPr="008F7BCC">
        <w:rPr>
          <w:rFonts w:ascii="Times New Roman" w:eastAsia="Times New Roman" w:hAnsi="Times New Roman" w:cs="Times New Roman"/>
          <w:color w:val="1D2129"/>
          <w:sz w:val="24"/>
          <w:szCs w:val="24"/>
          <w:highlight w:val="white"/>
        </w:rPr>
        <w:t xml:space="preserve">-fold growth in the number of Internet users: from only 1.1 percent </w:t>
      </w:r>
      <w:r>
        <w:rPr>
          <w:rFonts w:ascii="Times New Roman" w:eastAsia="Times New Roman" w:hAnsi="Times New Roman" w:cs="Times New Roman"/>
          <w:color w:val="1D2129"/>
          <w:sz w:val="24"/>
          <w:szCs w:val="24"/>
          <w:highlight w:val="white"/>
        </w:rPr>
        <w:t xml:space="preserve">of the total population in 2006, </w:t>
      </w:r>
      <w:r w:rsidR="00D929DF" w:rsidRPr="008F7BCC">
        <w:rPr>
          <w:rFonts w:ascii="Times New Roman" w:eastAsia="Times New Roman" w:hAnsi="Times New Roman" w:cs="Times New Roman"/>
          <w:color w:val="1D2129"/>
          <w:sz w:val="24"/>
          <w:szCs w:val="24"/>
          <w:highlight w:val="white"/>
        </w:rPr>
        <w:t xml:space="preserve">to 17.2 percent in 2016 </w:t>
      </w:r>
      <w:r>
        <w:rPr>
          <w:rFonts w:ascii="Times New Roman" w:eastAsia="Times New Roman" w:hAnsi="Times New Roman" w:cs="Times New Roman"/>
          <w:color w:val="1D2129"/>
          <w:sz w:val="24"/>
          <w:szCs w:val="24"/>
          <w:highlight w:val="white"/>
        </w:rPr>
        <w:t>–</w:t>
      </w:r>
      <w:r w:rsidR="00D929DF" w:rsidRPr="008F7BCC">
        <w:rPr>
          <w:rFonts w:ascii="Times New Roman" w:eastAsia="Times New Roman" w:hAnsi="Times New Roman" w:cs="Times New Roman"/>
          <w:color w:val="1D2129"/>
          <w:sz w:val="24"/>
          <w:szCs w:val="24"/>
          <w:highlight w:val="white"/>
        </w:rPr>
        <w:t xml:space="preserve"> approximately 4.9 million users </w:t>
      </w:r>
      <w:r>
        <w:rPr>
          <w:rFonts w:ascii="Times New Roman" w:eastAsia="Times New Roman" w:hAnsi="Times New Roman" w:cs="Times New Roman"/>
          <w:color w:val="1D2129"/>
          <w:sz w:val="24"/>
          <w:szCs w:val="24"/>
          <w:highlight w:val="white"/>
        </w:rPr>
        <w:t>as of 2017, according to Internet Live Stats</w:t>
      </w:r>
      <w:r w:rsidR="00D929DF" w:rsidRPr="008F7BCC">
        <w:rPr>
          <w:rFonts w:ascii="Times New Roman" w:eastAsia="Times New Roman" w:hAnsi="Times New Roman" w:cs="Times New Roman"/>
          <w:color w:val="1D2129"/>
          <w:sz w:val="24"/>
          <w:szCs w:val="24"/>
          <w:highlight w:val="white"/>
        </w:rPr>
        <w:t xml:space="preserve">. Internet users and quality networks are concentrated in the major cities of Nepal, </w:t>
      </w:r>
      <w:r>
        <w:rPr>
          <w:rFonts w:ascii="Times New Roman" w:eastAsia="Times New Roman" w:hAnsi="Times New Roman" w:cs="Times New Roman"/>
          <w:color w:val="1D2129"/>
          <w:sz w:val="24"/>
          <w:szCs w:val="24"/>
          <w:highlight w:val="white"/>
        </w:rPr>
        <w:t xml:space="preserve">however, </w:t>
      </w:r>
      <w:r w:rsidR="00D929DF" w:rsidRPr="008F7BCC">
        <w:rPr>
          <w:rFonts w:ascii="Times New Roman" w:eastAsia="Times New Roman" w:hAnsi="Times New Roman" w:cs="Times New Roman"/>
          <w:color w:val="1D2129"/>
          <w:sz w:val="24"/>
          <w:szCs w:val="24"/>
          <w:highlight w:val="white"/>
        </w:rPr>
        <w:t>leaving the rural ar</w:t>
      </w:r>
      <w:r w:rsidR="00E31713" w:rsidRPr="008F7BCC">
        <w:rPr>
          <w:rFonts w:ascii="Times New Roman" w:eastAsia="Times New Roman" w:hAnsi="Times New Roman" w:cs="Times New Roman"/>
          <w:color w:val="1D2129"/>
          <w:sz w:val="24"/>
          <w:szCs w:val="24"/>
          <w:highlight w:val="white"/>
        </w:rPr>
        <w:t>eas with scarce to nonexistent I</w:t>
      </w:r>
      <w:r w:rsidR="00D929DF" w:rsidRPr="008F7BCC">
        <w:rPr>
          <w:rFonts w:ascii="Times New Roman" w:eastAsia="Times New Roman" w:hAnsi="Times New Roman" w:cs="Times New Roman"/>
          <w:color w:val="1D2129"/>
          <w:sz w:val="24"/>
          <w:szCs w:val="24"/>
          <w:highlight w:val="white"/>
        </w:rPr>
        <w:t>nternet connectivity.</w:t>
      </w:r>
    </w:p>
    <w:p w14:paraId="6D49280A" w14:textId="43601154" w:rsidR="00EC6760" w:rsidRPr="008F7BCC" w:rsidRDefault="00D929DF" w:rsidP="00B37D0F">
      <w:pPr>
        <w:pStyle w:val="Normal1"/>
        <w:spacing w:after="120" w:line="240" w:lineRule="auto"/>
        <w:jc w:val="both"/>
        <w:rPr>
          <w:rFonts w:ascii="Times New Roman" w:eastAsia="Times New Roman" w:hAnsi="Times New Roman" w:cs="Times New Roman"/>
          <w:color w:val="1D2129"/>
          <w:sz w:val="24"/>
          <w:szCs w:val="24"/>
          <w:highlight w:val="white"/>
        </w:rPr>
      </w:pPr>
      <w:r w:rsidRPr="008F7BCC">
        <w:rPr>
          <w:rFonts w:ascii="Times New Roman" w:eastAsia="Times New Roman" w:hAnsi="Times New Roman" w:cs="Times New Roman"/>
          <w:color w:val="1D2129"/>
          <w:sz w:val="24"/>
          <w:szCs w:val="24"/>
          <w:highlight w:val="white"/>
        </w:rPr>
        <w:t xml:space="preserve">The Nepal Wireless Networking Project (NWNP) has been </w:t>
      </w:r>
      <w:r w:rsidR="000E6E16">
        <w:rPr>
          <w:rFonts w:ascii="Times New Roman" w:eastAsia="Times New Roman" w:hAnsi="Times New Roman" w:cs="Times New Roman"/>
          <w:color w:val="1D2129"/>
          <w:sz w:val="24"/>
          <w:szCs w:val="24"/>
          <w:highlight w:val="white"/>
        </w:rPr>
        <w:t xml:space="preserve">a </w:t>
      </w:r>
      <w:r w:rsidRPr="008F7BCC">
        <w:rPr>
          <w:rFonts w:ascii="Times New Roman" w:eastAsia="Times New Roman" w:hAnsi="Times New Roman" w:cs="Times New Roman"/>
          <w:color w:val="1D2129"/>
          <w:sz w:val="24"/>
          <w:szCs w:val="24"/>
          <w:highlight w:val="white"/>
        </w:rPr>
        <w:t>significant effort to connect the rural areas of Nepal. The project has received support from various institutions such as the World Bank, the International Telecommunication Union</w:t>
      </w:r>
      <w:r w:rsidR="00257028">
        <w:rPr>
          <w:rFonts w:ascii="Times New Roman" w:eastAsia="Times New Roman" w:hAnsi="Times New Roman" w:cs="Times New Roman"/>
          <w:color w:val="1D2129"/>
          <w:sz w:val="24"/>
          <w:szCs w:val="24"/>
          <w:highlight w:val="white"/>
        </w:rPr>
        <w:t xml:space="preserve"> (ITU)</w:t>
      </w:r>
      <w:r w:rsidRPr="008F7BCC">
        <w:rPr>
          <w:rFonts w:ascii="Times New Roman" w:eastAsia="Times New Roman" w:hAnsi="Times New Roman" w:cs="Times New Roman"/>
          <w:color w:val="1D2129"/>
          <w:sz w:val="24"/>
          <w:szCs w:val="24"/>
          <w:highlight w:val="white"/>
        </w:rPr>
        <w:t>, George Mason University, as well as gr</w:t>
      </w:r>
      <w:r w:rsidR="000E6E16">
        <w:rPr>
          <w:rFonts w:ascii="Times New Roman" w:eastAsia="Times New Roman" w:hAnsi="Times New Roman" w:cs="Times New Roman"/>
          <w:color w:val="1D2129"/>
          <w:sz w:val="24"/>
          <w:szCs w:val="24"/>
          <w:highlight w:val="white"/>
        </w:rPr>
        <w:t>oups of volunteers from the United States</w:t>
      </w:r>
      <w:r w:rsidRPr="008F7BCC">
        <w:rPr>
          <w:rFonts w:ascii="Times New Roman" w:eastAsia="Times New Roman" w:hAnsi="Times New Roman" w:cs="Times New Roman"/>
          <w:color w:val="1D2129"/>
          <w:sz w:val="24"/>
          <w:szCs w:val="24"/>
          <w:highlight w:val="white"/>
        </w:rPr>
        <w:t xml:space="preserve">, Singapore, Australia, and </w:t>
      </w:r>
      <w:r w:rsidR="005D737A">
        <w:rPr>
          <w:rFonts w:ascii="Times New Roman" w:eastAsia="Times New Roman" w:hAnsi="Times New Roman" w:cs="Times New Roman"/>
          <w:color w:val="1D2129"/>
          <w:sz w:val="24"/>
          <w:szCs w:val="24"/>
          <w:highlight w:val="white"/>
        </w:rPr>
        <w:t>more</w:t>
      </w:r>
      <w:r w:rsidRPr="008F7BCC">
        <w:rPr>
          <w:rFonts w:ascii="Times New Roman" w:eastAsia="Times New Roman" w:hAnsi="Times New Roman" w:cs="Times New Roman"/>
          <w:color w:val="1D2129"/>
          <w:sz w:val="24"/>
          <w:szCs w:val="24"/>
          <w:highlight w:val="white"/>
        </w:rPr>
        <w:t xml:space="preserve">. As of 2013, the project </w:t>
      </w:r>
      <w:r w:rsidR="005D737A">
        <w:rPr>
          <w:rFonts w:ascii="Times New Roman" w:eastAsia="Times New Roman" w:hAnsi="Times New Roman" w:cs="Times New Roman"/>
          <w:color w:val="1D2129"/>
          <w:sz w:val="24"/>
          <w:szCs w:val="24"/>
          <w:highlight w:val="white"/>
        </w:rPr>
        <w:t xml:space="preserve">has </w:t>
      </w:r>
      <w:r w:rsidRPr="008F7BCC">
        <w:rPr>
          <w:rFonts w:ascii="Times New Roman" w:eastAsia="Times New Roman" w:hAnsi="Times New Roman" w:cs="Times New Roman"/>
          <w:color w:val="1D2129"/>
          <w:sz w:val="24"/>
          <w:szCs w:val="24"/>
          <w:highlight w:val="white"/>
        </w:rPr>
        <w:t>served more than 140 mountainous villages.</w:t>
      </w:r>
    </w:p>
    <w:p w14:paraId="3B04DF60" w14:textId="2E5F36F5" w:rsidR="00EC6760" w:rsidRPr="008F7BCC" w:rsidRDefault="00D929DF" w:rsidP="00B37D0F">
      <w:pPr>
        <w:pStyle w:val="Normal1"/>
        <w:spacing w:after="120" w:line="240" w:lineRule="auto"/>
        <w:jc w:val="both"/>
        <w:rPr>
          <w:rFonts w:ascii="Times New Roman" w:eastAsia="Times New Roman" w:hAnsi="Times New Roman" w:cs="Times New Roman"/>
          <w:color w:val="1D2129"/>
          <w:sz w:val="24"/>
          <w:szCs w:val="24"/>
          <w:highlight w:val="white"/>
        </w:rPr>
      </w:pPr>
      <w:r w:rsidRPr="008F7BCC">
        <w:rPr>
          <w:rFonts w:ascii="Times New Roman" w:eastAsia="Times New Roman" w:hAnsi="Times New Roman" w:cs="Times New Roman"/>
          <w:color w:val="1D2129"/>
          <w:sz w:val="24"/>
          <w:szCs w:val="24"/>
          <w:highlight w:val="white"/>
        </w:rPr>
        <w:t>I</w:t>
      </w:r>
      <w:r w:rsidR="005D737A">
        <w:rPr>
          <w:rFonts w:ascii="Times New Roman" w:eastAsia="Times New Roman" w:hAnsi="Times New Roman" w:cs="Times New Roman"/>
          <w:color w:val="1D2129"/>
          <w:sz w:val="24"/>
          <w:szCs w:val="24"/>
          <w:highlight w:val="white"/>
        </w:rPr>
        <w:t>nformation and communications technology (I</w:t>
      </w:r>
      <w:r w:rsidRPr="008F7BCC">
        <w:rPr>
          <w:rFonts w:ascii="Times New Roman" w:eastAsia="Times New Roman" w:hAnsi="Times New Roman" w:cs="Times New Roman"/>
          <w:color w:val="1D2129"/>
          <w:sz w:val="24"/>
          <w:szCs w:val="24"/>
          <w:highlight w:val="white"/>
        </w:rPr>
        <w:t>CT</w:t>
      </w:r>
      <w:r w:rsidR="005D737A">
        <w:rPr>
          <w:rFonts w:ascii="Times New Roman" w:eastAsia="Times New Roman" w:hAnsi="Times New Roman" w:cs="Times New Roman"/>
          <w:color w:val="1D2129"/>
          <w:sz w:val="24"/>
          <w:szCs w:val="24"/>
          <w:highlight w:val="white"/>
        </w:rPr>
        <w:t>)</w:t>
      </w:r>
      <w:r w:rsidRPr="008F7BCC">
        <w:rPr>
          <w:rFonts w:ascii="Times New Roman" w:eastAsia="Times New Roman" w:hAnsi="Times New Roman" w:cs="Times New Roman"/>
          <w:color w:val="1D2129"/>
          <w:sz w:val="24"/>
          <w:szCs w:val="24"/>
          <w:highlight w:val="white"/>
        </w:rPr>
        <w:t xml:space="preserve"> adoption into education has been recognized by policy</w:t>
      </w:r>
      <w:r w:rsidR="005D737A">
        <w:rPr>
          <w:rFonts w:ascii="Times New Roman" w:eastAsia="Times New Roman" w:hAnsi="Times New Roman" w:cs="Times New Roman"/>
          <w:color w:val="1D2129"/>
          <w:sz w:val="24"/>
          <w:szCs w:val="24"/>
          <w:highlight w:val="white"/>
        </w:rPr>
        <w:t>-</w:t>
      </w:r>
      <w:r w:rsidRPr="008F7BCC">
        <w:rPr>
          <w:rFonts w:ascii="Times New Roman" w:eastAsia="Times New Roman" w:hAnsi="Times New Roman" w:cs="Times New Roman"/>
          <w:color w:val="1D2129"/>
          <w:sz w:val="24"/>
          <w:szCs w:val="24"/>
          <w:highlight w:val="white"/>
        </w:rPr>
        <w:t xml:space="preserve">makers, but most initiatives to support technology use in schools are being taken by private donors and nonprofit organizations. In 2012, 89 students in rural areas received the certificates for having completed the two-week training on digital literacy conducted by the Logged On Foundation and Microsoft Innovation Centre Nepal. NWNP </w:t>
      </w:r>
      <w:r w:rsidR="005D737A">
        <w:rPr>
          <w:rFonts w:ascii="Times New Roman" w:eastAsia="Times New Roman" w:hAnsi="Times New Roman" w:cs="Times New Roman"/>
          <w:color w:val="1D2129"/>
          <w:sz w:val="24"/>
          <w:szCs w:val="24"/>
          <w:highlight w:val="white"/>
        </w:rPr>
        <w:t xml:space="preserve">also </w:t>
      </w:r>
      <w:r w:rsidRPr="008F7BCC">
        <w:rPr>
          <w:rFonts w:ascii="Times New Roman" w:eastAsia="Times New Roman" w:hAnsi="Times New Roman" w:cs="Times New Roman"/>
          <w:color w:val="1D2129"/>
          <w:sz w:val="24"/>
          <w:szCs w:val="24"/>
          <w:highlight w:val="white"/>
        </w:rPr>
        <w:t>partnered with the Nepal Research and Education Network to develop interactive educational material</w:t>
      </w:r>
      <w:r w:rsidR="00926E07">
        <w:rPr>
          <w:rFonts w:ascii="Times New Roman" w:eastAsia="Times New Roman" w:hAnsi="Times New Roman" w:cs="Times New Roman"/>
          <w:color w:val="1D2129"/>
          <w:sz w:val="24"/>
          <w:szCs w:val="24"/>
          <w:highlight w:val="white"/>
        </w:rPr>
        <w:t xml:space="preserve">s for students in remote areas, while </w:t>
      </w:r>
      <w:r w:rsidRPr="008F7BCC">
        <w:rPr>
          <w:rFonts w:ascii="Times New Roman" w:eastAsia="Times New Roman" w:hAnsi="Times New Roman" w:cs="Times New Roman"/>
          <w:color w:val="1D2129"/>
          <w:sz w:val="24"/>
          <w:szCs w:val="24"/>
          <w:highlight w:val="white"/>
        </w:rPr>
        <w:t xml:space="preserve">Code for Nepal organized a two-week Digital Empowerment Training for 20 women to acquire and improve digital skills.  </w:t>
      </w:r>
    </w:p>
    <w:p w14:paraId="4E209006" w14:textId="6D7379EE" w:rsidR="00EC6760" w:rsidRDefault="00926E07" w:rsidP="00B37D0F">
      <w:pPr>
        <w:pStyle w:val="Normal1"/>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highlight w:val="white"/>
        </w:rPr>
        <w:t>Grade</w:t>
      </w:r>
      <w:r w:rsidR="00D929DF" w:rsidRPr="008F7BCC">
        <w:rPr>
          <w:rFonts w:ascii="Times New Roman" w:eastAsia="Times New Roman" w:hAnsi="Times New Roman" w:cs="Times New Roman"/>
          <w:color w:val="1D2129"/>
          <w:sz w:val="24"/>
          <w:szCs w:val="24"/>
          <w:highlight w:val="white"/>
        </w:rPr>
        <w:t xml:space="preserve"> </w:t>
      </w:r>
      <w:r>
        <w:rPr>
          <w:rFonts w:ascii="Times New Roman" w:eastAsia="Times New Roman" w:hAnsi="Times New Roman" w:cs="Times New Roman"/>
          <w:color w:val="1D2129"/>
          <w:sz w:val="24"/>
          <w:szCs w:val="24"/>
          <w:highlight w:val="white"/>
        </w:rPr>
        <w:t>10</w:t>
      </w:r>
      <w:r w:rsidR="00D929DF" w:rsidRPr="008F7BCC">
        <w:rPr>
          <w:rFonts w:ascii="Times New Roman" w:eastAsia="Times New Roman" w:hAnsi="Times New Roman" w:cs="Times New Roman"/>
          <w:color w:val="1D2129"/>
          <w:sz w:val="24"/>
          <w:szCs w:val="24"/>
          <w:highlight w:val="white"/>
        </w:rPr>
        <w:t xml:space="preserve"> students in Nepal have to take the final examination called </w:t>
      </w:r>
      <w:r>
        <w:rPr>
          <w:rFonts w:ascii="Times New Roman" w:eastAsia="Times New Roman" w:hAnsi="Times New Roman" w:cs="Times New Roman"/>
          <w:color w:val="1D2129"/>
          <w:sz w:val="24"/>
          <w:szCs w:val="24"/>
          <w:highlight w:val="white"/>
        </w:rPr>
        <w:t xml:space="preserve">the </w:t>
      </w:r>
      <w:r w:rsidR="00D929DF" w:rsidRPr="008F7BCC">
        <w:rPr>
          <w:rFonts w:ascii="Times New Roman" w:eastAsia="Times New Roman" w:hAnsi="Times New Roman" w:cs="Times New Roman"/>
          <w:color w:val="1D2129"/>
          <w:sz w:val="24"/>
          <w:szCs w:val="24"/>
          <w:highlight w:val="white"/>
        </w:rPr>
        <w:t>School Leaving Certificate (SLC) at the end of the year. Despite a low percentage requirement to pass the exam, a majority of students, especially those going to public schools in rural areas, still fail every year.</w:t>
      </w:r>
    </w:p>
    <w:p w14:paraId="6E8EDC42" w14:textId="77777777" w:rsidR="000E6E16" w:rsidRDefault="000E6E16" w:rsidP="00B37D0F">
      <w:pPr>
        <w:pStyle w:val="Normal1"/>
        <w:spacing w:after="120" w:line="240" w:lineRule="auto"/>
        <w:jc w:val="both"/>
        <w:rPr>
          <w:rFonts w:ascii="Times New Roman" w:eastAsia="Times New Roman" w:hAnsi="Times New Roman" w:cs="Times New Roman"/>
          <w:color w:val="1D2129"/>
          <w:sz w:val="24"/>
          <w:szCs w:val="24"/>
          <w:highlight w:val="white"/>
        </w:rPr>
      </w:pPr>
    </w:p>
    <w:tbl>
      <w:tblPr>
        <w:tblStyle w:val="TableGrid"/>
        <w:tblW w:w="9065" w:type="dxa"/>
        <w:tblLayout w:type="fixed"/>
        <w:tblCellMar>
          <w:top w:w="100" w:type="dxa"/>
          <w:left w:w="0" w:type="dxa"/>
          <w:bottom w:w="100" w:type="dxa"/>
          <w:right w:w="0" w:type="dxa"/>
        </w:tblCellMar>
        <w:tblLook w:val="04A0" w:firstRow="1" w:lastRow="0" w:firstColumn="1" w:lastColumn="0" w:noHBand="0" w:noVBand="1"/>
      </w:tblPr>
      <w:tblGrid>
        <w:gridCol w:w="2866"/>
        <w:gridCol w:w="1656"/>
        <w:gridCol w:w="2844"/>
        <w:gridCol w:w="1699"/>
      </w:tblGrid>
      <w:tr w:rsidR="000E6E16" w:rsidRPr="00E671CD" w14:paraId="3A5379AF" w14:textId="77777777" w:rsidTr="000E6E16">
        <w:trPr>
          <w:trHeight w:val="20"/>
        </w:trPr>
        <w:tc>
          <w:tcPr>
            <w:tcW w:w="9065" w:type="dxa"/>
            <w:gridSpan w:val="4"/>
            <w:vAlign w:val="center"/>
          </w:tcPr>
          <w:p w14:paraId="01D743DF" w14:textId="77777777" w:rsidR="000E6E16" w:rsidRPr="00E671CD" w:rsidRDefault="000E6E16" w:rsidP="0012218B">
            <w:pPr>
              <w:pStyle w:val="Tableheader"/>
              <w:spacing w:before="0" w:after="0"/>
            </w:pPr>
            <w:r w:rsidRPr="00E671CD">
              <w:t>Nepal</w:t>
            </w:r>
          </w:p>
        </w:tc>
      </w:tr>
      <w:tr w:rsidR="000E6E16" w:rsidRPr="00E671CD" w14:paraId="68E6C3D5" w14:textId="77777777" w:rsidTr="000E6E16">
        <w:trPr>
          <w:trHeight w:val="20"/>
        </w:trPr>
        <w:tc>
          <w:tcPr>
            <w:tcW w:w="2866" w:type="dxa"/>
            <w:vAlign w:val="center"/>
          </w:tcPr>
          <w:p w14:paraId="2F7006D8" w14:textId="77777777" w:rsidR="000E6E16" w:rsidRPr="00E671CD" w:rsidRDefault="000E6E16" w:rsidP="0012218B">
            <w:pPr>
              <w:pStyle w:val="Tableheader"/>
              <w:spacing w:before="0" w:after="0"/>
            </w:pPr>
            <w:r w:rsidRPr="00E671CD">
              <w:t>Population</w:t>
            </w:r>
          </w:p>
          <w:p w14:paraId="77C355E5" w14:textId="77777777" w:rsidR="000E6E16" w:rsidRPr="00E671CD" w:rsidRDefault="000E6E16" w:rsidP="0012218B">
            <w:pPr>
              <w:pStyle w:val="Tableheader"/>
              <w:spacing w:before="0" w:after="0"/>
              <w:rPr>
                <w:rFonts w:eastAsia="Times New Roman"/>
                <w:szCs w:val="24"/>
              </w:rPr>
            </w:pPr>
            <w:r w:rsidRPr="00E671CD">
              <w:t>(UN, 2015)</w:t>
            </w:r>
          </w:p>
        </w:tc>
        <w:tc>
          <w:tcPr>
            <w:tcW w:w="1656" w:type="dxa"/>
            <w:vAlign w:val="center"/>
          </w:tcPr>
          <w:p w14:paraId="1BC332B2" w14:textId="77777777" w:rsidR="000E6E16" w:rsidRPr="00E671CD" w:rsidRDefault="000E6E16" w:rsidP="0012218B">
            <w:pPr>
              <w:pStyle w:val="StyleCentered"/>
              <w:spacing w:after="0"/>
              <w:contextualSpacing/>
            </w:pPr>
            <w:r w:rsidRPr="00E671CD">
              <w:t>28,440,629</w:t>
            </w:r>
          </w:p>
        </w:tc>
        <w:tc>
          <w:tcPr>
            <w:tcW w:w="2844" w:type="dxa"/>
            <w:vAlign w:val="center"/>
          </w:tcPr>
          <w:p w14:paraId="2A7C9DEC" w14:textId="77777777" w:rsidR="000E6E16" w:rsidRPr="00E671CD" w:rsidRDefault="000E6E16" w:rsidP="0012218B">
            <w:pPr>
              <w:pStyle w:val="Tableheader"/>
              <w:spacing w:before="0" w:after="0"/>
            </w:pPr>
            <w:r w:rsidRPr="00E671CD">
              <w:t>Fixed broadband subscriptions (%)</w:t>
            </w:r>
          </w:p>
          <w:p w14:paraId="09C3369D" w14:textId="77777777" w:rsidR="000E6E16" w:rsidRPr="00E671CD" w:rsidRDefault="000E6E16" w:rsidP="0012218B">
            <w:pPr>
              <w:pStyle w:val="Tableheader"/>
              <w:spacing w:before="0" w:after="0"/>
              <w:rPr>
                <w:rFonts w:eastAsia="Times New Roman"/>
                <w:szCs w:val="24"/>
              </w:rPr>
            </w:pPr>
            <w:r w:rsidRPr="00E671CD">
              <w:t>(ITU, 2016)</w:t>
            </w:r>
          </w:p>
        </w:tc>
        <w:tc>
          <w:tcPr>
            <w:tcW w:w="1699" w:type="dxa"/>
            <w:vAlign w:val="center"/>
          </w:tcPr>
          <w:p w14:paraId="2112CA47" w14:textId="77777777" w:rsidR="000E6E16" w:rsidRPr="00E671CD" w:rsidRDefault="000E6E16" w:rsidP="0012218B">
            <w:pPr>
              <w:pStyle w:val="StyleCentered"/>
              <w:spacing w:after="0"/>
              <w:contextualSpacing/>
            </w:pPr>
            <w:r w:rsidRPr="00E671CD">
              <w:t>0.78</w:t>
            </w:r>
          </w:p>
        </w:tc>
      </w:tr>
      <w:tr w:rsidR="000E6E16" w:rsidRPr="00E671CD" w14:paraId="56DE1092" w14:textId="77777777" w:rsidTr="000E6E16">
        <w:trPr>
          <w:trHeight w:val="20"/>
        </w:trPr>
        <w:tc>
          <w:tcPr>
            <w:tcW w:w="2866" w:type="dxa"/>
            <w:vAlign w:val="center"/>
          </w:tcPr>
          <w:p w14:paraId="77F3AB80" w14:textId="77777777" w:rsidR="000E6E16" w:rsidRPr="00E671CD" w:rsidRDefault="000E6E16" w:rsidP="0012218B">
            <w:pPr>
              <w:pStyle w:val="Tableheader"/>
              <w:spacing w:before="0" w:after="0"/>
            </w:pPr>
            <w:r w:rsidRPr="00E671CD">
              <w:t>Population density</w:t>
            </w:r>
          </w:p>
          <w:p w14:paraId="5A0747A2" w14:textId="6D962467" w:rsidR="000E6E16" w:rsidRPr="00E671CD" w:rsidRDefault="000E6E16" w:rsidP="0012218B">
            <w:pPr>
              <w:pStyle w:val="Tableheader"/>
              <w:spacing w:before="0" w:after="0"/>
              <w:rPr>
                <w:szCs w:val="21"/>
              </w:rPr>
            </w:pPr>
            <w:r w:rsidRPr="00E671CD">
              <w:t>(people per sq.</w:t>
            </w:r>
            <w:r>
              <w:t xml:space="preserve"> </w:t>
            </w:r>
            <w:r w:rsidRPr="00E671CD">
              <w:t>km)</w:t>
            </w:r>
          </w:p>
          <w:p w14:paraId="6453EEB0" w14:textId="77777777" w:rsidR="000E6E16" w:rsidRPr="00E671CD" w:rsidRDefault="000E6E16" w:rsidP="0012218B">
            <w:pPr>
              <w:pStyle w:val="Tableheader"/>
              <w:spacing w:before="0" w:after="0"/>
              <w:rPr>
                <w:szCs w:val="24"/>
              </w:rPr>
            </w:pPr>
            <w:r w:rsidRPr="00E671CD">
              <w:t>(UN, 2015)</w:t>
            </w:r>
          </w:p>
        </w:tc>
        <w:tc>
          <w:tcPr>
            <w:tcW w:w="1656" w:type="dxa"/>
            <w:vAlign w:val="center"/>
          </w:tcPr>
          <w:p w14:paraId="02F8B1CE" w14:textId="77777777" w:rsidR="000E6E16" w:rsidRPr="00E671CD" w:rsidRDefault="000E6E16" w:rsidP="0012218B">
            <w:pPr>
              <w:pStyle w:val="StyleCentered"/>
              <w:spacing w:after="0"/>
              <w:contextualSpacing/>
            </w:pPr>
            <w:r w:rsidRPr="00E671CD">
              <w:t>193.24</w:t>
            </w:r>
          </w:p>
        </w:tc>
        <w:tc>
          <w:tcPr>
            <w:tcW w:w="2844" w:type="dxa"/>
            <w:vAlign w:val="center"/>
          </w:tcPr>
          <w:p w14:paraId="19C9D37A" w14:textId="77777777" w:rsidR="000E6E16" w:rsidRPr="00E671CD" w:rsidRDefault="000E6E16" w:rsidP="0012218B">
            <w:pPr>
              <w:pStyle w:val="Tableheader"/>
              <w:spacing w:before="0" w:after="0"/>
            </w:pPr>
            <w:r w:rsidRPr="00E671CD">
              <w:t>Mobile cellular subscriptions (%)</w:t>
            </w:r>
          </w:p>
          <w:p w14:paraId="6EC2A62B" w14:textId="77777777" w:rsidR="000E6E16" w:rsidRPr="00E671CD" w:rsidRDefault="000E6E16" w:rsidP="0012218B">
            <w:pPr>
              <w:pStyle w:val="Tableheader"/>
              <w:spacing w:before="0" w:after="0"/>
              <w:rPr>
                <w:rFonts w:eastAsia="Times New Roman"/>
                <w:szCs w:val="24"/>
              </w:rPr>
            </w:pPr>
            <w:r w:rsidRPr="00E671CD">
              <w:t>(ITU, 2016)</w:t>
            </w:r>
          </w:p>
        </w:tc>
        <w:tc>
          <w:tcPr>
            <w:tcW w:w="1699" w:type="dxa"/>
            <w:vAlign w:val="center"/>
          </w:tcPr>
          <w:p w14:paraId="3C6DAEF7" w14:textId="77777777" w:rsidR="000E6E16" w:rsidRPr="00E671CD" w:rsidRDefault="000E6E16" w:rsidP="0012218B">
            <w:pPr>
              <w:pStyle w:val="StyleCentered"/>
              <w:spacing w:after="0"/>
              <w:contextualSpacing/>
            </w:pPr>
            <w:r w:rsidRPr="00E671CD">
              <w:t>111.7</w:t>
            </w:r>
          </w:p>
        </w:tc>
      </w:tr>
      <w:tr w:rsidR="000E6E16" w:rsidRPr="00E671CD" w14:paraId="61053B7F" w14:textId="77777777" w:rsidTr="000E6E16">
        <w:trPr>
          <w:trHeight w:val="20"/>
        </w:trPr>
        <w:tc>
          <w:tcPr>
            <w:tcW w:w="2866" w:type="dxa"/>
            <w:vAlign w:val="center"/>
          </w:tcPr>
          <w:p w14:paraId="202E9EE3" w14:textId="77777777" w:rsidR="000E6E16" w:rsidRPr="00E671CD" w:rsidRDefault="000E6E16" w:rsidP="0012218B">
            <w:pPr>
              <w:pStyle w:val="Tableheader"/>
              <w:spacing w:before="0" w:after="0"/>
              <w:rPr>
                <w:szCs w:val="21"/>
              </w:rPr>
            </w:pPr>
            <w:r w:rsidRPr="00E671CD">
              <w:t>Median household income</w:t>
            </w:r>
          </w:p>
          <w:p w14:paraId="379228E2" w14:textId="77777777" w:rsidR="000E6E16" w:rsidRPr="00E671CD" w:rsidRDefault="000E6E16" w:rsidP="0012218B">
            <w:pPr>
              <w:pStyle w:val="Tableheader"/>
              <w:spacing w:before="0" w:after="0"/>
              <w:rPr>
                <w:szCs w:val="24"/>
              </w:rPr>
            </w:pPr>
            <w:r w:rsidRPr="00E671CD">
              <w:t>(Gallup, 2006-2012)</w:t>
            </w:r>
          </w:p>
        </w:tc>
        <w:tc>
          <w:tcPr>
            <w:tcW w:w="1656" w:type="dxa"/>
            <w:vAlign w:val="center"/>
          </w:tcPr>
          <w:p w14:paraId="7D372556" w14:textId="77777777" w:rsidR="000E6E16" w:rsidRPr="00E671CD" w:rsidRDefault="000E6E16" w:rsidP="0012218B">
            <w:pPr>
              <w:pStyle w:val="StyleCentered"/>
              <w:spacing w:after="0"/>
              <w:contextualSpacing/>
            </w:pPr>
            <w:r w:rsidRPr="00E671CD">
              <w:t>US$ 2,718</w:t>
            </w:r>
          </w:p>
        </w:tc>
        <w:tc>
          <w:tcPr>
            <w:tcW w:w="2844" w:type="dxa"/>
            <w:vAlign w:val="center"/>
          </w:tcPr>
          <w:p w14:paraId="47A06022" w14:textId="77777777" w:rsidR="000E6E16" w:rsidRPr="00E671CD" w:rsidRDefault="000E6E16" w:rsidP="0012218B">
            <w:pPr>
              <w:pStyle w:val="Tableheader"/>
              <w:spacing w:before="0" w:after="0"/>
            </w:pPr>
            <w:r w:rsidRPr="00E671CD">
              <w:t>Individuals using the Internet (%)</w:t>
            </w:r>
          </w:p>
          <w:p w14:paraId="6E94D6FC" w14:textId="77777777" w:rsidR="000E6E16" w:rsidRPr="00E671CD" w:rsidRDefault="000E6E16" w:rsidP="0012218B">
            <w:pPr>
              <w:pStyle w:val="Tableheader"/>
              <w:spacing w:before="0" w:after="0"/>
              <w:rPr>
                <w:rFonts w:eastAsia="Times New Roman"/>
                <w:szCs w:val="24"/>
              </w:rPr>
            </w:pPr>
            <w:r w:rsidRPr="00E671CD">
              <w:t>(ITU, 2016)</w:t>
            </w:r>
          </w:p>
        </w:tc>
        <w:tc>
          <w:tcPr>
            <w:tcW w:w="1699" w:type="dxa"/>
            <w:vAlign w:val="center"/>
          </w:tcPr>
          <w:p w14:paraId="5F086B32" w14:textId="77777777" w:rsidR="000E6E16" w:rsidRPr="00E671CD" w:rsidRDefault="000E6E16" w:rsidP="0012218B">
            <w:pPr>
              <w:pStyle w:val="StyleCentered"/>
              <w:spacing w:after="0"/>
              <w:contextualSpacing/>
            </w:pPr>
            <w:r w:rsidRPr="00E671CD">
              <w:t>19.7</w:t>
            </w:r>
          </w:p>
        </w:tc>
      </w:tr>
      <w:tr w:rsidR="000E6E16" w:rsidRPr="00E671CD" w14:paraId="1ACCD0A3" w14:textId="77777777" w:rsidTr="000E6E16">
        <w:trPr>
          <w:trHeight w:val="20"/>
        </w:trPr>
        <w:tc>
          <w:tcPr>
            <w:tcW w:w="2866" w:type="dxa"/>
            <w:vAlign w:val="center"/>
          </w:tcPr>
          <w:p w14:paraId="20C86B47" w14:textId="77777777" w:rsidR="000E6E16" w:rsidRPr="00E671CD" w:rsidRDefault="000E6E16" w:rsidP="0012218B">
            <w:pPr>
              <w:pStyle w:val="Tableheader"/>
              <w:spacing w:before="0" w:after="0"/>
            </w:pPr>
            <w:r w:rsidRPr="00E671CD">
              <w:t>Education</w:t>
            </w:r>
          </w:p>
          <w:p w14:paraId="43C84B19" w14:textId="77777777" w:rsidR="000E6E16" w:rsidRPr="00E671CD" w:rsidRDefault="000E6E16" w:rsidP="0012218B">
            <w:pPr>
              <w:pStyle w:val="Tableheader"/>
              <w:spacing w:before="0" w:after="0"/>
              <w:rPr>
                <w:rFonts w:eastAsia="Times New Roman"/>
                <w:szCs w:val="24"/>
              </w:rPr>
            </w:pPr>
            <w:r w:rsidRPr="00E671CD">
              <w:t>(Mean years of schooling) (UNDP, 2013)</w:t>
            </w:r>
          </w:p>
        </w:tc>
        <w:tc>
          <w:tcPr>
            <w:tcW w:w="1656" w:type="dxa"/>
            <w:vAlign w:val="center"/>
          </w:tcPr>
          <w:p w14:paraId="75F5E2C8" w14:textId="77777777" w:rsidR="000E6E16" w:rsidRPr="00E671CD" w:rsidRDefault="000E6E16" w:rsidP="0012218B">
            <w:pPr>
              <w:pStyle w:val="StyleCentered"/>
              <w:spacing w:after="0"/>
              <w:contextualSpacing/>
            </w:pPr>
            <w:r w:rsidRPr="00E671CD">
              <w:t>Male: 4.2</w:t>
            </w:r>
          </w:p>
          <w:p w14:paraId="750A17A7" w14:textId="77777777" w:rsidR="000E6E16" w:rsidRPr="00E671CD" w:rsidRDefault="000E6E16" w:rsidP="0012218B">
            <w:pPr>
              <w:pStyle w:val="StyleCentered"/>
              <w:spacing w:after="0"/>
              <w:contextualSpacing/>
            </w:pPr>
            <w:r w:rsidRPr="00E671CD">
              <w:t>Female: 2.4</w:t>
            </w:r>
          </w:p>
        </w:tc>
        <w:tc>
          <w:tcPr>
            <w:tcW w:w="2844" w:type="dxa"/>
            <w:vAlign w:val="center"/>
          </w:tcPr>
          <w:p w14:paraId="1F3A4B65" w14:textId="77777777" w:rsidR="000E6E16" w:rsidRPr="00E671CD" w:rsidRDefault="000E6E16" w:rsidP="0012218B">
            <w:pPr>
              <w:pStyle w:val="Tableheader"/>
              <w:spacing w:before="0" w:after="0"/>
              <w:rPr>
                <w:rFonts w:eastAsia="Times New Roman"/>
                <w:szCs w:val="24"/>
              </w:rPr>
            </w:pPr>
            <w:r w:rsidRPr="00E671CD">
              <w:t>Individuals using the Internet by Gender (%) (ITU, 2016)</w:t>
            </w:r>
          </w:p>
        </w:tc>
        <w:tc>
          <w:tcPr>
            <w:tcW w:w="1699" w:type="dxa"/>
            <w:vAlign w:val="center"/>
          </w:tcPr>
          <w:p w14:paraId="1A6B208F" w14:textId="77777777" w:rsidR="000E6E16" w:rsidRPr="00E671CD" w:rsidRDefault="000E6E16" w:rsidP="0012218B">
            <w:pPr>
              <w:pStyle w:val="StyleCentered"/>
              <w:spacing w:after="0"/>
              <w:contextualSpacing/>
            </w:pPr>
            <w:r w:rsidRPr="00E671CD">
              <w:t>N/A</w:t>
            </w:r>
          </w:p>
        </w:tc>
      </w:tr>
    </w:tbl>
    <w:p w14:paraId="4CD7C463" w14:textId="0C95E59B" w:rsidR="000E6E16" w:rsidRDefault="000E6E16">
      <w:pPr>
        <w:rPr>
          <w:rFonts w:ascii="Georgia" w:eastAsia="Georgia" w:hAnsi="Georgia" w:cs="Georgia"/>
          <w:smallCaps/>
          <w:sz w:val="36"/>
          <w:szCs w:val="36"/>
        </w:rPr>
      </w:pPr>
      <w:r>
        <w:rPr>
          <w:rFonts w:ascii="Georgia" w:eastAsia="Georgia" w:hAnsi="Georgia" w:cs="Georgia"/>
          <w:b/>
        </w:rPr>
        <w:br w:type="page"/>
      </w:r>
    </w:p>
    <w:p w14:paraId="5FF0E4D1" w14:textId="21838025" w:rsidR="00EC6760" w:rsidRPr="008F7BCC" w:rsidRDefault="008F7BCC" w:rsidP="00046D6F">
      <w:pPr>
        <w:pStyle w:val="Heading1"/>
        <w:rPr>
          <w:b/>
        </w:rPr>
      </w:pPr>
      <w:r>
        <w:lastRenderedPageBreak/>
        <w:t>Project D</w:t>
      </w:r>
      <w:r w:rsidR="00D929DF" w:rsidRPr="008F7BCC">
        <w:t>escription</w:t>
      </w:r>
    </w:p>
    <w:p w14:paraId="37870BAE" w14:textId="441B62D8" w:rsidR="00EC6760" w:rsidRPr="008F7BCC" w:rsidRDefault="00D929DF" w:rsidP="00B37D0F">
      <w:pPr>
        <w:pStyle w:val="Normal1"/>
        <w:widowControl w:val="0"/>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The “Internet – Past and Future – The Tool for Education Revolution” was a 2014 initiative th</w:t>
      </w:r>
      <w:r w:rsidR="00487AE7">
        <w:rPr>
          <w:rFonts w:ascii="Times New Roman" w:eastAsia="Times New Roman" w:hAnsi="Times New Roman" w:cs="Times New Roman"/>
          <w:sz w:val="24"/>
          <w:szCs w:val="24"/>
        </w:rPr>
        <w:t xml:space="preserve">at had two primary objectives. </w:t>
      </w:r>
      <w:r w:rsidRPr="008F7BCC">
        <w:rPr>
          <w:rFonts w:ascii="Times New Roman" w:eastAsia="Times New Roman" w:hAnsi="Times New Roman" w:cs="Times New Roman"/>
          <w:sz w:val="24"/>
          <w:szCs w:val="24"/>
        </w:rPr>
        <w:t>The first was to introduce students to ICT</w:t>
      </w:r>
      <w:r w:rsidR="00487AE7">
        <w:rPr>
          <w:rFonts w:ascii="Times New Roman" w:eastAsia="Times New Roman" w:hAnsi="Times New Roman" w:cs="Times New Roman"/>
          <w:sz w:val="24"/>
          <w:szCs w:val="24"/>
        </w:rPr>
        <w:t>s</w:t>
      </w:r>
      <w:r w:rsidRPr="008F7BCC">
        <w:rPr>
          <w:rFonts w:ascii="Times New Roman" w:eastAsia="Times New Roman" w:hAnsi="Times New Roman" w:cs="Times New Roman"/>
          <w:sz w:val="24"/>
          <w:szCs w:val="24"/>
        </w:rPr>
        <w:t>. Ten schools were selected</w:t>
      </w:r>
      <w:r w:rsidR="00487AE7">
        <w:rPr>
          <w:rFonts w:ascii="Times New Roman" w:eastAsia="Times New Roman" w:hAnsi="Times New Roman" w:cs="Times New Roman"/>
          <w:sz w:val="24"/>
          <w:szCs w:val="24"/>
        </w:rPr>
        <w:t>,</w:t>
      </w:r>
      <w:r w:rsidRPr="008F7BCC">
        <w:rPr>
          <w:rFonts w:ascii="Times New Roman" w:eastAsia="Times New Roman" w:hAnsi="Times New Roman" w:cs="Times New Roman"/>
          <w:sz w:val="24"/>
          <w:szCs w:val="24"/>
        </w:rPr>
        <w:t xml:space="preserve"> and trainings were given over two o</w:t>
      </w:r>
      <w:r w:rsidR="00487AE7">
        <w:rPr>
          <w:rFonts w:ascii="Times New Roman" w:eastAsia="Times New Roman" w:hAnsi="Times New Roman" w:cs="Times New Roman"/>
          <w:sz w:val="24"/>
          <w:szCs w:val="24"/>
        </w:rPr>
        <w:t>r three days at each location. The trainers were six information technology (IT) students who had recently graduated.</w:t>
      </w:r>
      <w:r w:rsidRPr="008F7BCC">
        <w:rPr>
          <w:rFonts w:ascii="Times New Roman" w:eastAsia="Times New Roman" w:hAnsi="Times New Roman" w:cs="Times New Roman"/>
          <w:sz w:val="24"/>
          <w:szCs w:val="24"/>
        </w:rPr>
        <w:t xml:space="preserve"> </w:t>
      </w:r>
      <w:r w:rsidR="000E6E16">
        <w:rPr>
          <w:rFonts w:ascii="Times New Roman" w:eastAsia="Times New Roman" w:hAnsi="Times New Roman" w:cs="Times New Roman"/>
          <w:sz w:val="24"/>
          <w:szCs w:val="24"/>
        </w:rPr>
        <w:t xml:space="preserve">They first explained the basic use of the Internet. </w:t>
      </w:r>
      <w:r w:rsidRPr="008F7BCC">
        <w:rPr>
          <w:rFonts w:ascii="Times New Roman" w:eastAsia="Times New Roman" w:hAnsi="Times New Roman" w:cs="Times New Roman"/>
          <w:sz w:val="24"/>
          <w:szCs w:val="24"/>
        </w:rPr>
        <w:t>Other lessons included how to use social media for educational ends, making the students aware of cybercrime,</w:t>
      </w:r>
      <w:r w:rsidR="00A45621">
        <w:rPr>
          <w:rFonts w:ascii="Times New Roman" w:eastAsia="Times New Roman" w:hAnsi="Times New Roman" w:cs="Times New Roman"/>
          <w:sz w:val="24"/>
          <w:szCs w:val="24"/>
        </w:rPr>
        <w:t xml:space="preserve"> and </w:t>
      </w:r>
      <w:r w:rsidR="000E6E16">
        <w:rPr>
          <w:rFonts w:ascii="Times New Roman" w:eastAsia="Times New Roman" w:hAnsi="Times New Roman" w:cs="Times New Roman"/>
          <w:sz w:val="24"/>
          <w:szCs w:val="24"/>
        </w:rPr>
        <w:t xml:space="preserve">lessons on </w:t>
      </w:r>
      <w:r w:rsidR="00A45621">
        <w:rPr>
          <w:rFonts w:ascii="Times New Roman" w:eastAsia="Times New Roman" w:hAnsi="Times New Roman" w:cs="Times New Roman"/>
          <w:sz w:val="24"/>
          <w:szCs w:val="24"/>
        </w:rPr>
        <w:t xml:space="preserve">e-governance initiatives. </w:t>
      </w:r>
      <w:r w:rsidRPr="008F7BCC">
        <w:rPr>
          <w:rFonts w:ascii="Times New Roman" w:eastAsia="Times New Roman" w:hAnsi="Times New Roman" w:cs="Times New Roman"/>
          <w:sz w:val="24"/>
          <w:szCs w:val="24"/>
        </w:rPr>
        <w:t>Lessons were taught v</w:t>
      </w:r>
      <w:r w:rsidR="00A45621">
        <w:rPr>
          <w:rFonts w:ascii="Times New Roman" w:eastAsia="Times New Roman" w:hAnsi="Times New Roman" w:cs="Times New Roman"/>
          <w:sz w:val="24"/>
          <w:szCs w:val="24"/>
        </w:rPr>
        <w:t>ia as many methods as possible, i</w:t>
      </w:r>
      <w:r w:rsidRPr="008F7BCC">
        <w:rPr>
          <w:rFonts w:ascii="Times New Roman" w:eastAsia="Times New Roman" w:hAnsi="Times New Roman" w:cs="Times New Roman"/>
          <w:sz w:val="24"/>
          <w:szCs w:val="24"/>
        </w:rPr>
        <w:t>ncluding lectures, PowerPoint presentations, brainstorming sessions, games, an</w:t>
      </w:r>
      <w:r w:rsidR="00A45621">
        <w:rPr>
          <w:rFonts w:ascii="Times New Roman" w:eastAsia="Times New Roman" w:hAnsi="Times New Roman" w:cs="Times New Roman"/>
          <w:sz w:val="24"/>
          <w:szCs w:val="24"/>
        </w:rPr>
        <w:t>d group work</w:t>
      </w:r>
      <w:r w:rsidR="000E6E16">
        <w:rPr>
          <w:rFonts w:ascii="Times New Roman" w:eastAsia="Times New Roman" w:hAnsi="Times New Roman" w:cs="Times New Roman"/>
          <w:sz w:val="24"/>
          <w:szCs w:val="24"/>
        </w:rPr>
        <w:t>, to students in grades 8, 9 and 10.</w:t>
      </w:r>
    </w:p>
    <w:p w14:paraId="52D7DF50" w14:textId="503BDAF8" w:rsidR="00EC6760" w:rsidRPr="008F7BCC" w:rsidRDefault="00D929DF" w:rsidP="00B37D0F">
      <w:pPr>
        <w:pStyle w:val="Normal1"/>
        <w:widowControl w:val="0"/>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 xml:space="preserve">The second aspect of the project was the web application onlinevidyalaya.org. Developed using </w:t>
      </w:r>
      <w:r w:rsidR="00AE4C3E" w:rsidRPr="008F7BCC">
        <w:rPr>
          <w:rFonts w:ascii="Times New Roman" w:eastAsia="Times New Roman" w:hAnsi="Times New Roman" w:cs="Times New Roman"/>
          <w:sz w:val="24"/>
          <w:szCs w:val="24"/>
        </w:rPr>
        <w:t>WordPress</w:t>
      </w:r>
      <w:r w:rsidRPr="008F7BCC">
        <w:rPr>
          <w:rFonts w:ascii="Times New Roman" w:eastAsia="Times New Roman" w:hAnsi="Times New Roman" w:cs="Times New Roman"/>
          <w:sz w:val="24"/>
          <w:szCs w:val="24"/>
        </w:rPr>
        <w:t xml:space="preserve"> and a </w:t>
      </w:r>
      <w:r w:rsidR="00A45621" w:rsidRPr="008F7BCC">
        <w:rPr>
          <w:rFonts w:ascii="Times New Roman" w:eastAsia="Times New Roman" w:hAnsi="Times New Roman" w:cs="Times New Roman"/>
          <w:sz w:val="24"/>
          <w:szCs w:val="24"/>
        </w:rPr>
        <w:t xml:space="preserve">content management </w:t>
      </w:r>
      <w:r w:rsidR="00A45621">
        <w:rPr>
          <w:rFonts w:ascii="Times New Roman" w:eastAsia="Times New Roman" w:hAnsi="Times New Roman" w:cs="Times New Roman"/>
          <w:sz w:val="24"/>
          <w:szCs w:val="24"/>
        </w:rPr>
        <w:t xml:space="preserve">system </w:t>
      </w:r>
      <w:r w:rsidR="00AE4C3E">
        <w:rPr>
          <w:rFonts w:ascii="Times New Roman" w:eastAsia="Times New Roman" w:hAnsi="Times New Roman" w:cs="Times New Roman"/>
          <w:sz w:val="24"/>
          <w:szCs w:val="24"/>
        </w:rPr>
        <w:t>based on PHG and MySQL, O</w:t>
      </w:r>
      <w:r w:rsidRPr="008F7BCC">
        <w:rPr>
          <w:rFonts w:ascii="Times New Roman" w:eastAsia="Times New Roman" w:hAnsi="Times New Roman" w:cs="Times New Roman"/>
          <w:sz w:val="24"/>
          <w:szCs w:val="24"/>
        </w:rPr>
        <w:t>nline</w:t>
      </w:r>
      <w:r w:rsidR="00AE4C3E">
        <w:rPr>
          <w:rFonts w:ascii="Times New Roman" w:eastAsia="Times New Roman" w:hAnsi="Times New Roman" w:cs="Times New Roman"/>
          <w:sz w:val="24"/>
          <w:szCs w:val="24"/>
        </w:rPr>
        <w:t xml:space="preserve"> V</w:t>
      </w:r>
      <w:r w:rsidRPr="008F7BCC">
        <w:rPr>
          <w:rFonts w:ascii="Times New Roman" w:eastAsia="Times New Roman" w:hAnsi="Times New Roman" w:cs="Times New Roman"/>
          <w:sz w:val="24"/>
          <w:szCs w:val="24"/>
        </w:rPr>
        <w:t>idyalaya was a single platform for the students to access e-le</w:t>
      </w:r>
      <w:r w:rsidR="00A45621">
        <w:rPr>
          <w:rFonts w:ascii="Times New Roman" w:eastAsia="Times New Roman" w:hAnsi="Times New Roman" w:cs="Times New Roman"/>
          <w:sz w:val="24"/>
          <w:szCs w:val="24"/>
        </w:rPr>
        <w:t xml:space="preserve">arning video and text content. </w:t>
      </w:r>
      <w:r w:rsidR="00434002">
        <w:rPr>
          <w:rFonts w:ascii="Times New Roman" w:eastAsia="Times New Roman" w:hAnsi="Times New Roman" w:cs="Times New Roman"/>
          <w:sz w:val="24"/>
          <w:szCs w:val="24"/>
        </w:rPr>
        <w:t>The six</w:t>
      </w:r>
      <w:r w:rsidRPr="008F7BCC">
        <w:rPr>
          <w:rFonts w:ascii="Times New Roman" w:eastAsia="Times New Roman" w:hAnsi="Times New Roman" w:cs="Times New Roman"/>
          <w:sz w:val="24"/>
          <w:szCs w:val="24"/>
        </w:rPr>
        <w:t xml:space="preserve"> </w:t>
      </w:r>
      <w:r w:rsidR="00434002">
        <w:rPr>
          <w:rFonts w:ascii="Times New Roman" w:eastAsia="Times New Roman" w:hAnsi="Times New Roman" w:cs="Times New Roman"/>
          <w:sz w:val="24"/>
          <w:szCs w:val="24"/>
        </w:rPr>
        <w:t>instructors spent four</w:t>
      </w:r>
      <w:r w:rsidRPr="008F7BCC">
        <w:rPr>
          <w:rFonts w:ascii="Times New Roman" w:eastAsia="Times New Roman" w:hAnsi="Times New Roman" w:cs="Times New Roman"/>
          <w:sz w:val="24"/>
          <w:szCs w:val="24"/>
        </w:rPr>
        <w:t xml:space="preserve"> months pouring over the science and math textbooks</w:t>
      </w:r>
      <w:r w:rsidR="00434002">
        <w:rPr>
          <w:rFonts w:ascii="Times New Roman" w:eastAsia="Times New Roman" w:hAnsi="Times New Roman" w:cs="Times New Roman"/>
          <w:sz w:val="24"/>
          <w:szCs w:val="24"/>
        </w:rPr>
        <w:t xml:space="preserve"> used in the relevant schools. </w:t>
      </w:r>
      <w:r w:rsidRPr="008F7BCC">
        <w:rPr>
          <w:rFonts w:ascii="Times New Roman" w:eastAsia="Times New Roman" w:hAnsi="Times New Roman" w:cs="Times New Roman"/>
          <w:sz w:val="24"/>
          <w:szCs w:val="24"/>
        </w:rPr>
        <w:t>After outlining the subject matter by chapter, they sought out credible sources, primarily from YouTub</w:t>
      </w:r>
      <w:r w:rsidR="00AE4C3E">
        <w:rPr>
          <w:rFonts w:ascii="Times New Roman" w:eastAsia="Times New Roman" w:hAnsi="Times New Roman" w:cs="Times New Roman"/>
          <w:sz w:val="24"/>
          <w:szCs w:val="24"/>
        </w:rPr>
        <w:t>e, and added them to the Online V</w:t>
      </w:r>
      <w:r w:rsidR="00434002">
        <w:rPr>
          <w:rFonts w:ascii="Times New Roman" w:eastAsia="Times New Roman" w:hAnsi="Times New Roman" w:cs="Times New Roman"/>
          <w:sz w:val="24"/>
          <w:szCs w:val="24"/>
        </w:rPr>
        <w:t xml:space="preserve">idyalaya portal. </w:t>
      </w:r>
      <w:r w:rsidRPr="008F7BCC">
        <w:rPr>
          <w:rFonts w:ascii="Times New Roman" w:eastAsia="Times New Roman" w:hAnsi="Times New Roman" w:cs="Times New Roman"/>
          <w:sz w:val="24"/>
          <w:szCs w:val="24"/>
        </w:rPr>
        <w:t>This included appro</w:t>
      </w:r>
      <w:r w:rsidR="00AE4C3E">
        <w:rPr>
          <w:rFonts w:ascii="Times New Roman" w:eastAsia="Times New Roman" w:hAnsi="Times New Roman" w:cs="Times New Roman"/>
          <w:sz w:val="24"/>
          <w:szCs w:val="24"/>
        </w:rPr>
        <w:t>ximately 800 videos as well as PDFs</w:t>
      </w:r>
      <w:r w:rsidRPr="008F7BCC">
        <w:rPr>
          <w:rFonts w:ascii="Times New Roman" w:eastAsia="Times New Roman" w:hAnsi="Times New Roman" w:cs="Times New Roman"/>
          <w:sz w:val="24"/>
          <w:szCs w:val="24"/>
        </w:rPr>
        <w:t xml:space="preserve"> of e-books provided by the Nepalese government.</w:t>
      </w:r>
    </w:p>
    <w:p w14:paraId="3E9ED661" w14:textId="5546B2D6" w:rsidR="00EC6760" w:rsidRDefault="00D929DF" w:rsidP="00B37D0F">
      <w:pPr>
        <w:pStyle w:val="Normal1"/>
        <w:widowControl w:val="0"/>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Primary fu</w:t>
      </w:r>
      <w:r w:rsidR="00434002">
        <w:rPr>
          <w:rFonts w:ascii="Times New Roman" w:eastAsia="Times New Roman" w:hAnsi="Times New Roman" w:cs="Times New Roman"/>
          <w:sz w:val="24"/>
          <w:szCs w:val="24"/>
        </w:rPr>
        <w:t>nding came from an</w:t>
      </w:r>
      <w:r w:rsidR="00AE4C3E">
        <w:rPr>
          <w:rFonts w:ascii="Times New Roman" w:eastAsia="Times New Roman" w:hAnsi="Times New Roman" w:cs="Times New Roman"/>
          <w:sz w:val="24"/>
          <w:szCs w:val="24"/>
        </w:rPr>
        <w:t xml:space="preserve"> </w:t>
      </w:r>
      <w:r w:rsidR="00434002">
        <w:rPr>
          <w:rFonts w:ascii="Times New Roman" w:eastAsia="Times New Roman" w:hAnsi="Times New Roman" w:cs="Times New Roman"/>
          <w:sz w:val="24"/>
          <w:szCs w:val="24"/>
        </w:rPr>
        <w:t>Internet Society (</w:t>
      </w:r>
      <w:r w:rsidR="00AE4C3E">
        <w:rPr>
          <w:rFonts w:ascii="Times New Roman" w:eastAsia="Times New Roman" w:hAnsi="Times New Roman" w:cs="Times New Roman"/>
          <w:sz w:val="24"/>
          <w:szCs w:val="24"/>
        </w:rPr>
        <w:t>ISOC</w:t>
      </w:r>
      <w:r w:rsidR="00434002">
        <w:rPr>
          <w:rFonts w:ascii="Times New Roman" w:eastAsia="Times New Roman" w:hAnsi="Times New Roman" w:cs="Times New Roman"/>
          <w:sz w:val="24"/>
          <w:szCs w:val="24"/>
        </w:rPr>
        <w:t xml:space="preserve">) grant. </w:t>
      </w:r>
      <w:r w:rsidRPr="008F7BCC">
        <w:rPr>
          <w:rFonts w:ascii="Times New Roman" w:eastAsia="Times New Roman" w:hAnsi="Times New Roman" w:cs="Times New Roman"/>
          <w:sz w:val="24"/>
          <w:szCs w:val="24"/>
        </w:rPr>
        <w:t>Other partner organizations include Yagiten Pvt. Ltd. for the maintenance of computer labs, New IT Venture Corporation for e-materials</w:t>
      </w:r>
      <w:r w:rsidR="000E6E16">
        <w:rPr>
          <w:rFonts w:ascii="Times New Roman" w:eastAsia="Times New Roman" w:hAnsi="Times New Roman" w:cs="Times New Roman"/>
          <w:sz w:val="24"/>
          <w:szCs w:val="24"/>
        </w:rPr>
        <w:t>, and the World Bank</w:t>
      </w:r>
      <w:r w:rsidRPr="008F7BCC">
        <w:rPr>
          <w:rFonts w:ascii="Times New Roman" w:eastAsia="Times New Roman" w:hAnsi="Times New Roman" w:cs="Times New Roman"/>
          <w:sz w:val="24"/>
          <w:szCs w:val="24"/>
        </w:rPr>
        <w:t>.</w:t>
      </w:r>
    </w:p>
    <w:p w14:paraId="40FBDBAB" w14:textId="77777777" w:rsidR="000E6E16" w:rsidRDefault="000E6E16" w:rsidP="00B37D0F">
      <w:pPr>
        <w:pStyle w:val="Normal1"/>
        <w:widowControl w:val="0"/>
        <w:spacing w:after="120" w:line="240" w:lineRule="auto"/>
        <w:jc w:val="both"/>
        <w:rPr>
          <w:rFonts w:ascii="Times New Roman" w:eastAsia="Times New Roman" w:hAnsi="Times New Roman" w:cs="Times New Roman"/>
          <w:sz w:val="24"/>
          <w:szCs w:val="24"/>
        </w:rPr>
      </w:pPr>
    </w:p>
    <w:tbl>
      <w:tblPr>
        <w:tblStyle w:val="a0"/>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1895"/>
        <w:gridCol w:w="2730"/>
        <w:gridCol w:w="1860"/>
        <w:gridCol w:w="2751"/>
      </w:tblGrid>
      <w:tr w:rsidR="002351C0" w:rsidRPr="008F7BCC" w14:paraId="1ED8BD63" w14:textId="77777777" w:rsidTr="002351C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6E932AAA" w14:textId="1F28AB34" w:rsidR="002351C0" w:rsidRPr="008F7BCC" w:rsidRDefault="002351C0" w:rsidP="002351C0">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Project details</w:t>
            </w:r>
          </w:p>
        </w:tc>
      </w:tr>
      <w:tr w:rsidR="002351C0" w:rsidRPr="008F7BCC" w14:paraId="16A4197E" w14:textId="77777777" w:rsidTr="000E6E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7BE63BBA" w14:textId="2FBF277D" w:rsidR="002351C0" w:rsidRPr="008F7BCC" w:rsidRDefault="002351C0" w:rsidP="002351C0">
            <w:pPr>
              <w:pStyle w:val="Normal1"/>
              <w:spacing w:after="0" w:line="240" w:lineRule="auto"/>
              <w:jc w:val="center"/>
              <w:rPr>
                <w:rFonts w:ascii="Times New Roman" w:eastAsia="Times New Roman" w:hAnsi="Times New Roman" w:cs="Times New Roman"/>
              </w:rPr>
            </w:pPr>
            <w:r w:rsidRPr="008F7BCC">
              <w:rPr>
                <w:rFonts w:ascii="Times New Roman" w:eastAsia="Times New Roman" w:hAnsi="Times New Roman" w:cs="Times New Roman"/>
              </w:rPr>
              <w:t>Technology</w:t>
            </w:r>
          </w:p>
        </w:tc>
        <w:tc>
          <w:tcPr>
            <w:tcW w:w="2730" w:type="dxa"/>
            <w:shd w:val="clear" w:color="auto" w:fill="auto"/>
            <w:vAlign w:val="center"/>
          </w:tcPr>
          <w:p w14:paraId="4A8E5AB0" w14:textId="77777777"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Online educational portal</w:t>
            </w:r>
          </w:p>
        </w:tc>
        <w:tc>
          <w:tcPr>
            <w:tcW w:w="1860" w:type="dxa"/>
            <w:shd w:val="clear" w:color="auto" w:fill="auto"/>
            <w:vAlign w:val="center"/>
          </w:tcPr>
          <w:p w14:paraId="5239DF30" w14:textId="59E64959"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8F7BCC">
              <w:rPr>
                <w:rFonts w:ascii="Times New Roman" w:eastAsia="Times New Roman" w:hAnsi="Times New Roman" w:cs="Times New Roman"/>
                <w:b/>
              </w:rPr>
              <w:t>Training</w:t>
            </w:r>
          </w:p>
        </w:tc>
        <w:tc>
          <w:tcPr>
            <w:tcW w:w="2751" w:type="dxa"/>
            <w:shd w:val="clear" w:color="auto" w:fill="auto"/>
            <w:vAlign w:val="center"/>
          </w:tcPr>
          <w:p w14:paraId="113418B2" w14:textId="7298BE9C"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2-3 days</w:t>
            </w:r>
          </w:p>
        </w:tc>
      </w:tr>
      <w:tr w:rsidR="002351C0" w:rsidRPr="008F7BCC" w14:paraId="17A0268B" w14:textId="77777777" w:rsidTr="000E6E16">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3A4D872C" w14:textId="2B5A969C" w:rsidR="002351C0" w:rsidRPr="008F7BCC" w:rsidRDefault="002351C0" w:rsidP="002351C0">
            <w:pPr>
              <w:pStyle w:val="Normal1"/>
              <w:spacing w:after="0" w:line="240" w:lineRule="auto"/>
              <w:jc w:val="center"/>
              <w:rPr>
                <w:rFonts w:ascii="Times New Roman" w:eastAsia="Times New Roman" w:hAnsi="Times New Roman" w:cs="Times New Roman"/>
              </w:rPr>
            </w:pPr>
            <w:r w:rsidRPr="008F7BCC">
              <w:rPr>
                <w:rFonts w:ascii="Times New Roman" w:eastAsia="Times New Roman" w:hAnsi="Times New Roman" w:cs="Times New Roman"/>
              </w:rPr>
              <w:t xml:space="preserve">Year </w:t>
            </w:r>
            <w:r>
              <w:rPr>
                <w:rFonts w:ascii="Times New Roman" w:eastAsia="Times New Roman" w:hAnsi="Times New Roman" w:cs="Times New Roman"/>
              </w:rPr>
              <w:t>program started</w:t>
            </w:r>
          </w:p>
        </w:tc>
        <w:tc>
          <w:tcPr>
            <w:tcW w:w="2730" w:type="dxa"/>
            <w:shd w:val="clear" w:color="auto" w:fill="auto"/>
            <w:vAlign w:val="center"/>
          </w:tcPr>
          <w:p w14:paraId="4B4777F4" w14:textId="43DE9880"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2014</w:t>
            </w:r>
          </w:p>
        </w:tc>
        <w:tc>
          <w:tcPr>
            <w:tcW w:w="1860" w:type="dxa"/>
            <w:shd w:val="clear" w:color="auto" w:fill="auto"/>
            <w:vAlign w:val="center"/>
          </w:tcPr>
          <w:p w14:paraId="0FD1A4BC" w14:textId="0014A42F"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8F7BCC">
              <w:rPr>
                <w:rFonts w:ascii="Times New Roman" w:eastAsia="Times New Roman" w:hAnsi="Times New Roman" w:cs="Times New Roman"/>
                <w:b/>
              </w:rPr>
              <w:t>Cost to users</w:t>
            </w:r>
          </w:p>
        </w:tc>
        <w:tc>
          <w:tcPr>
            <w:tcW w:w="2751" w:type="dxa"/>
            <w:shd w:val="clear" w:color="auto" w:fill="auto"/>
            <w:vAlign w:val="center"/>
          </w:tcPr>
          <w:p w14:paraId="78A972A5" w14:textId="32EB5AA5"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Free</w:t>
            </w:r>
          </w:p>
        </w:tc>
      </w:tr>
      <w:tr w:rsidR="002351C0" w:rsidRPr="008F7BCC" w14:paraId="5B96A3F5" w14:textId="77777777" w:rsidTr="000E6E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75F36D0C" w14:textId="716DECE1" w:rsidR="002351C0" w:rsidRPr="008F7BCC" w:rsidRDefault="002351C0" w:rsidP="002351C0">
            <w:pPr>
              <w:pStyle w:val="Normal1"/>
              <w:spacing w:after="0" w:line="240" w:lineRule="auto"/>
              <w:jc w:val="center"/>
              <w:rPr>
                <w:rFonts w:ascii="Times New Roman" w:eastAsia="Times New Roman" w:hAnsi="Times New Roman" w:cs="Times New Roman"/>
              </w:rPr>
            </w:pPr>
            <w:r w:rsidRPr="008F7BCC">
              <w:rPr>
                <w:rFonts w:ascii="Times New Roman" w:eastAsia="Times New Roman" w:hAnsi="Times New Roman" w:cs="Times New Roman"/>
              </w:rPr>
              <w:t>Geography</w:t>
            </w:r>
          </w:p>
        </w:tc>
        <w:tc>
          <w:tcPr>
            <w:tcW w:w="2730" w:type="dxa"/>
            <w:shd w:val="clear" w:color="auto" w:fill="auto"/>
            <w:vAlign w:val="center"/>
          </w:tcPr>
          <w:p w14:paraId="16AB5B4D" w14:textId="21256E79"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 xml:space="preserve">Rural </w:t>
            </w:r>
            <w:r>
              <w:rPr>
                <w:rFonts w:ascii="Times New Roman" w:eastAsia="Times New Roman" w:hAnsi="Times New Roman" w:cs="Times New Roman"/>
              </w:rPr>
              <w:t>–</w:t>
            </w:r>
            <w:r w:rsidRPr="008F7BCC">
              <w:rPr>
                <w:rFonts w:ascii="Times New Roman" w:eastAsia="Times New Roman" w:hAnsi="Times New Roman" w:cs="Times New Roman"/>
              </w:rPr>
              <w:t xml:space="preserve"> Myagdi, Kaski</w:t>
            </w:r>
            <w:r>
              <w:rPr>
                <w:rFonts w:ascii="Times New Roman" w:eastAsia="Times New Roman" w:hAnsi="Times New Roman" w:cs="Times New Roman"/>
              </w:rPr>
              <w:t>,</w:t>
            </w:r>
            <w:r w:rsidRPr="008F7BCC">
              <w:rPr>
                <w:rFonts w:ascii="Times New Roman" w:eastAsia="Times New Roman" w:hAnsi="Times New Roman" w:cs="Times New Roman"/>
              </w:rPr>
              <w:t xml:space="preserve"> and Rasuwa</w:t>
            </w:r>
          </w:p>
        </w:tc>
        <w:tc>
          <w:tcPr>
            <w:tcW w:w="1860" w:type="dxa"/>
            <w:shd w:val="clear" w:color="auto" w:fill="auto"/>
            <w:vAlign w:val="center"/>
          </w:tcPr>
          <w:p w14:paraId="46DA48DA" w14:textId="77777777"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8F7BCC">
              <w:rPr>
                <w:rFonts w:ascii="Times New Roman" w:eastAsia="Times New Roman" w:hAnsi="Times New Roman" w:cs="Times New Roman"/>
                <w:b/>
              </w:rPr>
              <w:t>Total cost of program</w:t>
            </w:r>
          </w:p>
        </w:tc>
        <w:tc>
          <w:tcPr>
            <w:tcW w:w="2751" w:type="dxa"/>
            <w:shd w:val="clear" w:color="auto" w:fill="auto"/>
            <w:vAlign w:val="center"/>
          </w:tcPr>
          <w:p w14:paraId="3F29AFA8" w14:textId="08963CB1" w:rsidR="002351C0" w:rsidRPr="008F7BCC" w:rsidRDefault="000E6E16"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Fixed: US</w:t>
            </w:r>
            <w:r w:rsidR="002351C0" w:rsidRPr="008F7BCC">
              <w:rPr>
                <w:rFonts w:ascii="Times New Roman" w:eastAsia="Times New Roman" w:hAnsi="Times New Roman" w:cs="Times New Roman"/>
              </w:rPr>
              <w:t>$</w:t>
            </w:r>
            <w:r>
              <w:rPr>
                <w:rFonts w:ascii="Times New Roman" w:eastAsia="Times New Roman" w:hAnsi="Times New Roman" w:cs="Times New Roman"/>
              </w:rPr>
              <w:t xml:space="preserve"> </w:t>
            </w:r>
            <w:r w:rsidR="002351C0" w:rsidRPr="008F7BCC">
              <w:rPr>
                <w:rFonts w:ascii="Times New Roman" w:eastAsia="Times New Roman" w:hAnsi="Times New Roman" w:cs="Times New Roman"/>
              </w:rPr>
              <w:t>10,000 ISOC grant</w:t>
            </w:r>
          </w:p>
          <w:p w14:paraId="1F069BE0" w14:textId="5C85686A" w:rsidR="002351C0" w:rsidRPr="008F7BCC" w:rsidRDefault="002351C0" w:rsidP="002351C0">
            <w:pPr>
              <w:pStyle w:val="Normal1"/>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 xml:space="preserve">Operational: </w:t>
            </w:r>
            <w:r w:rsidR="000E6E16">
              <w:rPr>
                <w:rFonts w:ascii="Times New Roman" w:eastAsia="Times New Roman" w:hAnsi="Times New Roman" w:cs="Times New Roman"/>
              </w:rPr>
              <w:t>US</w:t>
            </w:r>
            <w:r w:rsidRPr="008F7BCC">
              <w:rPr>
                <w:rFonts w:ascii="Times New Roman" w:eastAsia="Times New Roman" w:hAnsi="Times New Roman" w:cs="Times New Roman"/>
              </w:rPr>
              <w:t>$</w:t>
            </w:r>
            <w:r w:rsidR="000E6E16">
              <w:rPr>
                <w:rFonts w:ascii="Times New Roman" w:eastAsia="Times New Roman" w:hAnsi="Times New Roman" w:cs="Times New Roman"/>
              </w:rPr>
              <w:t xml:space="preserve"> </w:t>
            </w:r>
            <w:r w:rsidRPr="008F7BCC">
              <w:rPr>
                <w:rFonts w:ascii="Times New Roman" w:eastAsia="Times New Roman" w:hAnsi="Times New Roman" w:cs="Times New Roman"/>
              </w:rPr>
              <w:t>5</w:t>
            </w:r>
            <w:r>
              <w:rPr>
                <w:rFonts w:ascii="Times New Roman" w:eastAsia="Times New Roman" w:hAnsi="Times New Roman" w:cs="Times New Roman"/>
              </w:rPr>
              <w:t>,</w:t>
            </w:r>
            <w:r w:rsidRPr="008F7BCC">
              <w:rPr>
                <w:rFonts w:ascii="Times New Roman" w:eastAsia="Times New Roman" w:hAnsi="Times New Roman" w:cs="Times New Roman"/>
              </w:rPr>
              <w:t xml:space="preserve">000 cost for computer labs, </w:t>
            </w:r>
            <w:r>
              <w:rPr>
                <w:rFonts w:ascii="Times New Roman" w:eastAsia="Times New Roman" w:hAnsi="Times New Roman" w:cs="Times New Roman"/>
              </w:rPr>
              <w:t xml:space="preserve">6 </w:t>
            </w:r>
            <w:r w:rsidRPr="008F7BCC">
              <w:rPr>
                <w:rFonts w:ascii="Times New Roman" w:eastAsia="Times New Roman" w:hAnsi="Times New Roman" w:cs="Times New Roman"/>
              </w:rPr>
              <w:t>trainers, 15 volunteers</w:t>
            </w:r>
          </w:p>
        </w:tc>
      </w:tr>
      <w:tr w:rsidR="002351C0" w:rsidRPr="008F7BCC" w14:paraId="33E4B056" w14:textId="77777777" w:rsidTr="000E6E16">
        <w:trPr>
          <w:trHeight w:val="20"/>
        </w:trPr>
        <w:tc>
          <w:tcPr>
            <w:cnfStyle w:val="001000000000" w:firstRow="0" w:lastRow="0" w:firstColumn="1" w:lastColumn="0" w:oddVBand="0" w:evenVBand="0" w:oddHBand="0" w:evenHBand="0" w:firstRowFirstColumn="0" w:firstRowLastColumn="0" w:lastRowFirstColumn="0" w:lastRowLastColumn="0"/>
            <w:tcW w:w="1895" w:type="dxa"/>
            <w:shd w:val="clear" w:color="auto" w:fill="auto"/>
            <w:vAlign w:val="center"/>
          </w:tcPr>
          <w:p w14:paraId="3D1CE810" w14:textId="2C31A77A" w:rsidR="002351C0" w:rsidRPr="008F7BCC" w:rsidRDefault="002351C0" w:rsidP="002351C0">
            <w:pPr>
              <w:pStyle w:val="Normal1"/>
              <w:spacing w:after="0" w:line="240" w:lineRule="auto"/>
              <w:jc w:val="center"/>
              <w:rPr>
                <w:rFonts w:ascii="Times New Roman" w:eastAsia="Times New Roman" w:hAnsi="Times New Roman" w:cs="Times New Roman"/>
              </w:rPr>
            </w:pPr>
            <w:r w:rsidRPr="008F7BCC">
              <w:rPr>
                <w:rFonts w:ascii="Times New Roman" w:eastAsia="Times New Roman" w:hAnsi="Times New Roman" w:cs="Times New Roman"/>
              </w:rPr>
              <w:t>User profile</w:t>
            </w:r>
          </w:p>
        </w:tc>
        <w:tc>
          <w:tcPr>
            <w:tcW w:w="2730" w:type="dxa"/>
            <w:shd w:val="clear" w:color="auto" w:fill="auto"/>
            <w:vAlign w:val="center"/>
          </w:tcPr>
          <w:p w14:paraId="39017F5E" w14:textId="54CC1230" w:rsidR="000E6E16"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 xml:space="preserve">10 government schools, </w:t>
            </w:r>
          </w:p>
          <w:p w14:paraId="5C923C5E" w14:textId="77777777" w:rsidR="000E6E16" w:rsidRDefault="000E6E16"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360 students,</w:t>
            </w:r>
          </w:p>
          <w:p w14:paraId="18FF8388" w14:textId="500B4CE8"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F7BCC">
              <w:rPr>
                <w:rFonts w:ascii="Times New Roman" w:eastAsia="Times New Roman" w:hAnsi="Times New Roman" w:cs="Times New Roman"/>
              </w:rPr>
              <w:t>43 teachers</w:t>
            </w:r>
          </w:p>
        </w:tc>
        <w:tc>
          <w:tcPr>
            <w:tcW w:w="1860" w:type="dxa"/>
            <w:shd w:val="clear" w:color="auto" w:fill="auto"/>
            <w:vAlign w:val="center"/>
          </w:tcPr>
          <w:p w14:paraId="1D65CA75" w14:textId="084757B7"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Associated o</w:t>
            </w:r>
            <w:r w:rsidRPr="008F7BCC">
              <w:rPr>
                <w:rFonts w:ascii="Times New Roman" w:eastAsia="Times New Roman" w:hAnsi="Times New Roman" w:cs="Times New Roman"/>
                <w:b/>
              </w:rPr>
              <w:t>rganizations</w:t>
            </w:r>
          </w:p>
        </w:tc>
        <w:tc>
          <w:tcPr>
            <w:tcW w:w="2751" w:type="dxa"/>
            <w:shd w:val="clear" w:color="auto" w:fill="auto"/>
            <w:vAlign w:val="center"/>
          </w:tcPr>
          <w:p w14:paraId="00770855" w14:textId="05039F8D" w:rsidR="002351C0"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Asia Pacific Telecommunication</w:t>
            </w:r>
            <w:r w:rsidR="000E6E16">
              <w:rPr>
                <w:rFonts w:ascii="Times New Roman" w:eastAsia="Times New Roman" w:hAnsi="Times New Roman" w:cs="Times New Roman"/>
              </w:rPr>
              <w:t>,</w:t>
            </w:r>
          </w:p>
          <w:p w14:paraId="0888F2CF" w14:textId="770C8D0E" w:rsidR="002351C0" w:rsidRPr="00434002"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34002">
              <w:rPr>
                <w:rFonts w:ascii="Times New Roman" w:eastAsia="Times New Roman" w:hAnsi="Times New Roman" w:cs="Times New Roman"/>
              </w:rPr>
              <w:t>ENRD</w:t>
            </w:r>
            <w:r w:rsidR="000E6E16">
              <w:rPr>
                <w:rFonts w:ascii="Times New Roman" w:eastAsia="Times New Roman" w:hAnsi="Times New Roman" w:cs="Times New Roman"/>
              </w:rPr>
              <w:t>,</w:t>
            </w:r>
          </w:p>
          <w:p w14:paraId="5C57F9BE" w14:textId="378C5210" w:rsidR="002351C0" w:rsidRPr="00434002"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34002">
              <w:rPr>
                <w:rFonts w:ascii="Times New Roman" w:eastAsia="Times New Roman" w:hAnsi="Times New Roman" w:cs="Times New Roman"/>
              </w:rPr>
              <w:t>ISOC</w:t>
            </w:r>
            <w:r w:rsidR="000E6E16">
              <w:rPr>
                <w:rFonts w:ascii="Times New Roman" w:eastAsia="Times New Roman" w:hAnsi="Times New Roman" w:cs="Times New Roman"/>
              </w:rPr>
              <w:t>,</w:t>
            </w:r>
          </w:p>
          <w:p w14:paraId="4069C63C" w14:textId="33E29547" w:rsidR="002351C0" w:rsidRPr="00434002"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34002">
              <w:rPr>
                <w:rFonts w:ascii="Times New Roman" w:eastAsia="Times New Roman" w:hAnsi="Times New Roman" w:cs="Times New Roman"/>
              </w:rPr>
              <w:t>New IT Venture Corporation</w:t>
            </w:r>
            <w:r w:rsidR="000E6E16">
              <w:rPr>
                <w:rFonts w:ascii="Times New Roman" w:eastAsia="Times New Roman" w:hAnsi="Times New Roman" w:cs="Times New Roman"/>
              </w:rPr>
              <w:t>,</w:t>
            </w:r>
          </w:p>
          <w:p w14:paraId="3614CEC2" w14:textId="16859678" w:rsidR="002351C0" w:rsidRPr="00434002"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434002">
              <w:rPr>
                <w:rFonts w:ascii="Times New Roman" w:eastAsia="Times New Roman" w:hAnsi="Times New Roman" w:cs="Times New Roman"/>
              </w:rPr>
              <w:t>World Bank</w:t>
            </w:r>
            <w:r w:rsidR="000E6E16">
              <w:rPr>
                <w:rFonts w:ascii="Times New Roman" w:eastAsia="Times New Roman" w:hAnsi="Times New Roman" w:cs="Times New Roman"/>
              </w:rPr>
              <w:t>,</w:t>
            </w:r>
          </w:p>
          <w:p w14:paraId="574CAF0F" w14:textId="6A723068" w:rsidR="002351C0" w:rsidRPr="008F7BCC" w:rsidRDefault="002351C0" w:rsidP="002351C0">
            <w:pPr>
              <w:pStyle w:val="Normal1"/>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Yagiten Pvt. Ltd.</w:t>
            </w:r>
          </w:p>
        </w:tc>
      </w:tr>
    </w:tbl>
    <w:p w14:paraId="674D9D92" w14:textId="229DB9C9" w:rsidR="00EC6760" w:rsidRPr="008F7BCC" w:rsidRDefault="008F7BCC" w:rsidP="00046D6F">
      <w:pPr>
        <w:pStyle w:val="Heading1"/>
        <w:rPr>
          <w:b/>
        </w:rPr>
      </w:pPr>
      <w:r>
        <w:t>Progress and R</w:t>
      </w:r>
      <w:r w:rsidRPr="008F7BCC">
        <w:t>esults</w:t>
      </w:r>
    </w:p>
    <w:p w14:paraId="27A2CB13" w14:textId="302D4BB5" w:rsidR="00EC6760" w:rsidRPr="008F7BCC" w:rsidRDefault="005D6756" w:rsidP="00B37D0F">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w:t>
      </w:r>
      <w:r w:rsidR="00D929DF" w:rsidRPr="008F7BCC">
        <w:rPr>
          <w:rFonts w:ascii="Times New Roman" w:eastAsia="Times New Roman" w:hAnsi="Times New Roman" w:cs="Times New Roman"/>
          <w:sz w:val="24"/>
          <w:szCs w:val="24"/>
        </w:rPr>
        <w:t xml:space="preserve"> 360 students and 43 teacher</w:t>
      </w:r>
      <w:r>
        <w:rPr>
          <w:rFonts w:ascii="Times New Roman" w:eastAsia="Times New Roman" w:hAnsi="Times New Roman" w:cs="Times New Roman"/>
          <w:sz w:val="24"/>
          <w:szCs w:val="24"/>
        </w:rPr>
        <w:t xml:space="preserve">s benefited from this project. </w:t>
      </w:r>
      <w:r w:rsidR="00D929DF" w:rsidRPr="008F7BCC">
        <w:rPr>
          <w:rFonts w:ascii="Times New Roman" w:eastAsia="Times New Roman" w:hAnsi="Times New Roman" w:cs="Times New Roman"/>
          <w:sz w:val="24"/>
          <w:szCs w:val="24"/>
        </w:rPr>
        <w:t>Ma</w:t>
      </w:r>
      <w:r w:rsidR="007A0D21" w:rsidRPr="008F7BCC">
        <w:rPr>
          <w:rFonts w:ascii="Times New Roman" w:eastAsia="Times New Roman" w:hAnsi="Times New Roman" w:cs="Times New Roman"/>
          <w:sz w:val="24"/>
          <w:szCs w:val="24"/>
        </w:rPr>
        <w:t>ny had no familiarity with the I</w:t>
      </w:r>
      <w:r w:rsidR="00D929DF" w:rsidRPr="008F7BCC">
        <w:rPr>
          <w:rFonts w:ascii="Times New Roman" w:eastAsia="Times New Roman" w:hAnsi="Times New Roman" w:cs="Times New Roman"/>
          <w:sz w:val="24"/>
          <w:szCs w:val="24"/>
        </w:rPr>
        <w:t>nte</w:t>
      </w:r>
      <w:r w:rsidR="00EC7C30">
        <w:rPr>
          <w:rFonts w:ascii="Times New Roman" w:eastAsia="Times New Roman" w:hAnsi="Times New Roman" w:cs="Times New Roman"/>
          <w:sz w:val="24"/>
          <w:szCs w:val="24"/>
        </w:rPr>
        <w:t xml:space="preserve">rnet </w:t>
      </w:r>
      <w:r>
        <w:rPr>
          <w:rFonts w:ascii="Times New Roman" w:eastAsia="Times New Roman" w:hAnsi="Times New Roman" w:cs="Times New Roman"/>
          <w:sz w:val="24"/>
          <w:szCs w:val="24"/>
        </w:rPr>
        <w:t>prior</w:t>
      </w:r>
      <w:r w:rsidR="000E6E16">
        <w:rPr>
          <w:rFonts w:ascii="Times New Roman" w:eastAsia="Times New Roman" w:hAnsi="Times New Roman" w:cs="Times New Roman"/>
          <w:sz w:val="24"/>
          <w:szCs w:val="24"/>
        </w:rPr>
        <w:t xml:space="preserve"> to the training provided as part of this project</w:t>
      </w:r>
      <w:r w:rsidR="00EC7C30">
        <w:rPr>
          <w:rFonts w:ascii="Times New Roman" w:eastAsia="Times New Roman" w:hAnsi="Times New Roman" w:cs="Times New Roman"/>
          <w:sz w:val="24"/>
          <w:szCs w:val="24"/>
        </w:rPr>
        <w:t>.</w:t>
      </w:r>
      <w:r w:rsidR="00D929DF" w:rsidRPr="008F7BCC">
        <w:rPr>
          <w:rFonts w:ascii="Times New Roman" w:eastAsia="Times New Roman" w:hAnsi="Times New Roman" w:cs="Times New Roman"/>
          <w:sz w:val="24"/>
          <w:szCs w:val="24"/>
        </w:rPr>
        <w:t xml:space="preserve"> Similarly, most had ne</w:t>
      </w:r>
      <w:r>
        <w:rPr>
          <w:rFonts w:ascii="Times New Roman" w:eastAsia="Times New Roman" w:hAnsi="Times New Roman" w:cs="Times New Roman"/>
          <w:sz w:val="24"/>
          <w:szCs w:val="24"/>
        </w:rPr>
        <w:t>ver utilized e-learning tools. Since</w:t>
      </w:r>
      <w:r w:rsidR="00D929DF" w:rsidRPr="008F7BCC">
        <w:rPr>
          <w:rFonts w:ascii="Times New Roman" w:eastAsia="Times New Roman" w:hAnsi="Times New Roman" w:cs="Times New Roman"/>
          <w:sz w:val="24"/>
          <w:szCs w:val="24"/>
        </w:rPr>
        <w:t xml:space="preserve"> all of the infor</w:t>
      </w:r>
      <w:r w:rsidR="00EC7C30">
        <w:rPr>
          <w:rFonts w:ascii="Times New Roman" w:eastAsia="Times New Roman" w:hAnsi="Times New Roman" w:cs="Times New Roman"/>
          <w:sz w:val="24"/>
          <w:szCs w:val="24"/>
        </w:rPr>
        <w:t xml:space="preserve">mation had been centralized </w:t>
      </w:r>
      <w:r>
        <w:rPr>
          <w:rFonts w:ascii="Times New Roman" w:eastAsia="Times New Roman" w:hAnsi="Times New Roman" w:cs="Times New Roman"/>
          <w:sz w:val="24"/>
          <w:szCs w:val="24"/>
        </w:rPr>
        <w:t>on</w:t>
      </w:r>
      <w:r w:rsidR="00EC7C30">
        <w:rPr>
          <w:rFonts w:ascii="Times New Roman" w:eastAsia="Times New Roman" w:hAnsi="Times New Roman" w:cs="Times New Roman"/>
          <w:sz w:val="24"/>
          <w:szCs w:val="24"/>
        </w:rPr>
        <w:t xml:space="preserve"> O</w:t>
      </w:r>
      <w:r w:rsidR="00D929DF" w:rsidRPr="008F7BCC">
        <w:rPr>
          <w:rFonts w:ascii="Times New Roman" w:eastAsia="Times New Roman" w:hAnsi="Times New Roman" w:cs="Times New Roman"/>
          <w:sz w:val="24"/>
          <w:szCs w:val="24"/>
        </w:rPr>
        <w:t>nline</w:t>
      </w:r>
      <w:r w:rsidR="00EC7C30">
        <w:rPr>
          <w:rFonts w:ascii="Times New Roman" w:eastAsia="Times New Roman" w:hAnsi="Times New Roman" w:cs="Times New Roman"/>
          <w:sz w:val="24"/>
          <w:szCs w:val="24"/>
        </w:rPr>
        <w:t xml:space="preserve"> V</w:t>
      </w:r>
      <w:r w:rsidR="00D929DF" w:rsidRPr="008F7BCC">
        <w:rPr>
          <w:rFonts w:ascii="Times New Roman" w:eastAsia="Times New Roman" w:hAnsi="Times New Roman" w:cs="Times New Roman"/>
          <w:sz w:val="24"/>
          <w:szCs w:val="24"/>
        </w:rPr>
        <w:t>idyalaya, the p</w:t>
      </w:r>
      <w:r w:rsidR="007A0D21" w:rsidRPr="008F7BCC">
        <w:rPr>
          <w:rFonts w:ascii="Times New Roman" w:eastAsia="Times New Roman" w:hAnsi="Times New Roman" w:cs="Times New Roman"/>
          <w:sz w:val="24"/>
          <w:szCs w:val="24"/>
        </w:rPr>
        <w:t>roject circumvented unreliable I</w:t>
      </w:r>
      <w:r w:rsidR="00D929DF" w:rsidRPr="008F7BCC">
        <w:rPr>
          <w:rFonts w:ascii="Times New Roman" w:eastAsia="Times New Roman" w:hAnsi="Times New Roman" w:cs="Times New Roman"/>
          <w:sz w:val="24"/>
          <w:szCs w:val="24"/>
        </w:rPr>
        <w:t>nternet by uploading the whole platform onto compute</w:t>
      </w:r>
      <w:r w:rsidR="00624768">
        <w:rPr>
          <w:rFonts w:ascii="Times New Roman" w:eastAsia="Times New Roman" w:hAnsi="Times New Roman" w:cs="Times New Roman"/>
          <w:sz w:val="24"/>
          <w:szCs w:val="24"/>
        </w:rPr>
        <w:t xml:space="preserve">rs in the school computer lab, and both students and teachers continue to </w:t>
      </w:r>
      <w:r w:rsidR="00D929DF" w:rsidRPr="008F7BCC">
        <w:rPr>
          <w:rFonts w:ascii="Times New Roman" w:eastAsia="Times New Roman" w:hAnsi="Times New Roman" w:cs="Times New Roman"/>
          <w:sz w:val="24"/>
          <w:szCs w:val="24"/>
        </w:rPr>
        <w:t xml:space="preserve">make use of the portal even </w:t>
      </w:r>
      <w:r w:rsidR="00624768">
        <w:rPr>
          <w:rFonts w:ascii="Times New Roman" w:eastAsia="Times New Roman" w:hAnsi="Times New Roman" w:cs="Times New Roman"/>
          <w:sz w:val="24"/>
          <w:szCs w:val="24"/>
        </w:rPr>
        <w:t>though the</w:t>
      </w:r>
      <w:r w:rsidR="00D929DF" w:rsidRPr="008F7BCC">
        <w:rPr>
          <w:rFonts w:ascii="Times New Roman" w:eastAsia="Times New Roman" w:hAnsi="Times New Roman" w:cs="Times New Roman"/>
          <w:sz w:val="24"/>
          <w:szCs w:val="24"/>
        </w:rPr>
        <w:t xml:space="preserve"> </w:t>
      </w:r>
      <w:r w:rsidR="00624768">
        <w:rPr>
          <w:rFonts w:ascii="Times New Roman" w:eastAsia="Times New Roman" w:hAnsi="Times New Roman" w:cs="Times New Roman"/>
          <w:sz w:val="24"/>
          <w:szCs w:val="24"/>
        </w:rPr>
        <w:t>project has ended.</w:t>
      </w:r>
    </w:p>
    <w:p w14:paraId="2B5553FF" w14:textId="5D9120ED" w:rsidR="00EC6760" w:rsidRPr="008F7BCC" w:rsidRDefault="00D929DF"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lastRenderedPageBreak/>
        <w:t xml:space="preserve">Most students did not have an email </w:t>
      </w:r>
      <w:r w:rsidR="00EC7C30">
        <w:rPr>
          <w:rFonts w:ascii="Times New Roman" w:eastAsia="Times New Roman" w:hAnsi="Times New Roman" w:cs="Times New Roman"/>
          <w:sz w:val="24"/>
          <w:szCs w:val="24"/>
        </w:rPr>
        <w:t xml:space="preserve">address prior to the training. </w:t>
      </w:r>
      <w:r w:rsidRPr="008F7BCC">
        <w:rPr>
          <w:rFonts w:ascii="Times New Roman" w:eastAsia="Times New Roman" w:hAnsi="Times New Roman" w:cs="Times New Roman"/>
          <w:sz w:val="24"/>
          <w:szCs w:val="24"/>
        </w:rPr>
        <w:t>Tr</w:t>
      </w:r>
      <w:r w:rsidR="00624768">
        <w:rPr>
          <w:rFonts w:ascii="Times New Roman" w:eastAsia="Times New Roman" w:hAnsi="Times New Roman" w:cs="Times New Roman"/>
          <w:sz w:val="24"/>
          <w:szCs w:val="24"/>
        </w:rPr>
        <w:t>ainers helped them create them, which they then used to become a member of ISOC.</w:t>
      </w:r>
    </w:p>
    <w:p w14:paraId="03842B0B" w14:textId="7827C5DF" w:rsidR="00EC6760" w:rsidRPr="008F7BCC" w:rsidRDefault="00D929DF"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Teachers were unaware of technologies such as the Google Drive suite and blogs</w:t>
      </w:r>
      <w:r w:rsidR="00A8252D">
        <w:rPr>
          <w:rFonts w:ascii="Times New Roman" w:eastAsia="Times New Roman" w:hAnsi="Times New Roman" w:cs="Times New Roman"/>
          <w:sz w:val="24"/>
          <w:szCs w:val="24"/>
        </w:rPr>
        <w:t>,</w:t>
      </w:r>
      <w:r w:rsidRPr="008F7BCC">
        <w:rPr>
          <w:rFonts w:ascii="Times New Roman" w:eastAsia="Times New Roman" w:hAnsi="Times New Roman" w:cs="Times New Roman"/>
          <w:sz w:val="24"/>
          <w:szCs w:val="24"/>
        </w:rPr>
        <w:t xml:space="preserve"> and the training has greatly increased their awareness of the utility of ICTs in their classrooms.</w:t>
      </w:r>
    </w:p>
    <w:p w14:paraId="0073EA77" w14:textId="77777777" w:rsidR="00EC6760" w:rsidRPr="008F7BCC" w:rsidRDefault="00D929DF" w:rsidP="00046D6F">
      <w:pPr>
        <w:pStyle w:val="Heading1"/>
        <w:rPr>
          <w:b/>
        </w:rPr>
      </w:pPr>
      <w:r w:rsidRPr="008F7BCC">
        <w:t>Challenges</w:t>
      </w:r>
    </w:p>
    <w:p w14:paraId="79F683CF" w14:textId="72309696" w:rsidR="00EC6760" w:rsidRPr="008F7BCC" w:rsidRDefault="00D929DF"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b/>
          <w:sz w:val="24"/>
          <w:szCs w:val="24"/>
        </w:rPr>
        <w:t xml:space="preserve">Time </w:t>
      </w:r>
      <w:r w:rsidR="00B12975" w:rsidRPr="008F7BCC">
        <w:rPr>
          <w:rFonts w:ascii="Times New Roman" w:eastAsia="Times New Roman" w:hAnsi="Times New Roman" w:cs="Times New Roman"/>
          <w:b/>
          <w:sz w:val="24"/>
          <w:szCs w:val="24"/>
        </w:rPr>
        <w:t>c</w:t>
      </w:r>
      <w:r w:rsidR="00B12975">
        <w:rPr>
          <w:rFonts w:ascii="Times New Roman" w:eastAsia="Times New Roman" w:hAnsi="Times New Roman" w:cs="Times New Roman"/>
          <w:b/>
          <w:sz w:val="24"/>
          <w:szCs w:val="24"/>
        </w:rPr>
        <w:t xml:space="preserve">onstraints – </w:t>
      </w:r>
      <w:r w:rsidRPr="008F7BCC">
        <w:rPr>
          <w:rFonts w:ascii="Times New Roman" w:eastAsia="Times New Roman" w:hAnsi="Times New Roman" w:cs="Times New Roman"/>
          <w:sz w:val="24"/>
          <w:szCs w:val="24"/>
        </w:rPr>
        <w:t xml:space="preserve">One of the largest problems faced by the </w:t>
      </w:r>
      <w:r w:rsidR="00DE0BFA">
        <w:rPr>
          <w:rFonts w:ascii="Times New Roman" w:eastAsia="Times New Roman" w:hAnsi="Times New Roman" w:cs="Times New Roman"/>
          <w:sz w:val="24"/>
          <w:szCs w:val="24"/>
        </w:rPr>
        <w:t xml:space="preserve">initiative was a lack of time. </w:t>
      </w:r>
      <w:r w:rsidRPr="008F7BCC">
        <w:rPr>
          <w:rFonts w:ascii="Times New Roman" w:eastAsia="Times New Roman" w:hAnsi="Times New Roman" w:cs="Times New Roman"/>
          <w:sz w:val="24"/>
          <w:szCs w:val="24"/>
        </w:rPr>
        <w:t xml:space="preserve">Trainings were originally intended to be 20 hours over </w:t>
      </w:r>
      <w:r w:rsidR="00DE0BFA">
        <w:rPr>
          <w:rFonts w:ascii="Times New Roman" w:eastAsia="Times New Roman" w:hAnsi="Times New Roman" w:cs="Times New Roman"/>
          <w:sz w:val="24"/>
          <w:szCs w:val="24"/>
        </w:rPr>
        <w:t xml:space="preserve">10 days. </w:t>
      </w:r>
      <w:r w:rsidRPr="008F7BCC">
        <w:rPr>
          <w:rFonts w:ascii="Times New Roman" w:eastAsia="Times New Roman" w:hAnsi="Times New Roman" w:cs="Times New Roman"/>
          <w:sz w:val="24"/>
          <w:szCs w:val="24"/>
        </w:rPr>
        <w:t xml:space="preserve">Yet, because </w:t>
      </w:r>
      <w:r w:rsidR="00DE0BFA">
        <w:rPr>
          <w:rFonts w:ascii="Times New Roman" w:eastAsia="Times New Roman" w:hAnsi="Times New Roman" w:cs="Times New Roman"/>
          <w:sz w:val="24"/>
          <w:szCs w:val="24"/>
        </w:rPr>
        <w:t xml:space="preserve">the schools’ </w:t>
      </w:r>
      <w:r w:rsidRPr="008F7BCC">
        <w:rPr>
          <w:rFonts w:ascii="Times New Roman" w:eastAsia="Times New Roman" w:hAnsi="Times New Roman" w:cs="Times New Roman"/>
          <w:sz w:val="24"/>
          <w:szCs w:val="24"/>
        </w:rPr>
        <w:t xml:space="preserve">regular </w:t>
      </w:r>
      <w:r w:rsidR="00DE0BFA">
        <w:rPr>
          <w:rFonts w:ascii="Times New Roman" w:eastAsia="Times New Roman" w:hAnsi="Times New Roman" w:cs="Times New Roman"/>
          <w:sz w:val="24"/>
          <w:szCs w:val="24"/>
        </w:rPr>
        <w:t>course schedule</w:t>
      </w:r>
      <w:r w:rsidRPr="008F7BCC">
        <w:rPr>
          <w:rFonts w:ascii="Times New Roman" w:eastAsia="Times New Roman" w:hAnsi="Times New Roman" w:cs="Times New Roman"/>
          <w:sz w:val="24"/>
          <w:szCs w:val="24"/>
        </w:rPr>
        <w:t xml:space="preserve"> could not be disturbed, schools only allowed for a</w:t>
      </w:r>
      <w:r w:rsidR="00DE0BFA">
        <w:rPr>
          <w:rFonts w:ascii="Times New Roman" w:eastAsia="Times New Roman" w:hAnsi="Times New Roman" w:cs="Times New Roman"/>
          <w:sz w:val="24"/>
          <w:szCs w:val="24"/>
        </w:rPr>
        <w:t xml:space="preserve"> maximum training time of three-to-</w:t>
      </w:r>
      <w:r w:rsidRPr="008F7BCC">
        <w:rPr>
          <w:rFonts w:ascii="Times New Roman" w:eastAsia="Times New Roman" w:hAnsi="Times New Roman" w:cs="Times New Roman"/>
          <w:sz w:val="24"/>
          <w:szCs w:val="24"/>
        </w:rPr>
        <w:t>six hours a</w:t>
      </w:r>
      <w:r w:rsidR="00DE0BFA">
        <w:rPr>
          <w:rFonts w:ascii="Times New Roman" w:eastAsia="Times New Roman" w:hAnsi="Times New Roman" w:cs="Times New Roman"/>
          <w:sz w:val="24"/>
          <w:szCs w:val="24"/>
        </w:rPr>
        <w:t xml:space="preserve"> day over three days. </w:t>
      </w:r>
      <w:r w:rsidRPr="008F7BCC">
        <w:rPr>
          <w:rFonts w:ascii="Times New Roman" w:eastAsia="Times New Roman" w:hAnsi="Times New Roman" w:cs="Times New Roman"/>
          <w:sz w:val="24"/>
          <w:szCs w:val="24"/>
        </w:rPr>
        <w:t>After or before school was also not an option</w:t>
      </w:r>
      <w:r w:rsidR="00EB261E">
        <w:rPr>
          <w:rFonts w:ascii="Times New Roman" w:eastAsia="Times New Roman" w:hAnsi="Times New Roman" w:cs="Times New Roman"/>
          <w:sz w:val="24"/>
          <w:szCs w:val="24"/>
        </w:rPr>
        <w:t xml:space="preserve"> either,</w:t>
      </w:r>
      <w:r w:rsidRPr="008F7BCC">
        <w:rPr>
          <w:rFonts w:ascii="Times New Roman" w:eastAsia="Times New Roman" w:hAnsi="Times New Roman" w:cs="Times New Roman"/>
          <w:sz w:val="24"/>
          <w:szCs w:val="24"/>
        </w:rPr>
        <w:t xml:space="preserve"> as students sometimes travel far distances to attend school. Trainers also had to travel far</w:t>
      </w:r>
      <w:r w:rsidR="00EB261E">
        <w:rPr>
          <w:rFonts w:ascii="Times New Roman" w:eastAsia="Times New Roman" w:hAnsi="Times New Roman" w:cs="Times New Roman"/>
          <w:sz w:val="24"/>
          <w:szCs w:val="24"/>
        </w:rPr>
        <w:t xml:space="preserve"> distances to reach the schools, </w:t>
      </w:r>
      <w:r w:rsidRPr="008F7BCC">
        <w:rPr>
          <w:rFonts w:ascii="Times New Roman" w:eastAsia="Times New Roman" w:hAnsi="Times New Roman" w:cs="Times New Roman"/>
          <w:sz w:val="24"/>
          <w:szCs w:val="24"/>
        </w:rPr>
        <w:t>which limited the amount of resources they could bring.</w:t>
      </w:r>
    </w:p>
    <w:p w14:paraId="012B9F54" w14:textId="08182967" w:rsidR="00EC6760" w:rsidRPr="008F7BCC" w:rsidRDefault="00D929DF"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b/>
          <w:sz w:val="24"/>
          <w:szCs w:val="24"/>
        </w:rPr>
        <w:t>Lack of infrastructure</w:t>
      </w:r>
      <w:r w:rsidR="00B12975">
        <w:rPr>
          <w:rFonts w:ascii="Times New Roman" w:eastAsia="Times New Roman" w:hAnsi="Times New Roman" w:cs="Times New Roman"/>
          <w:b/>
          <w:sz w:val="24"/>
          <w:szCs w:val="24"/>
        </w:rPr>
        <w:t xml:space="preserve"> – </w:t>
      </w:r>
      <w:r w:rsidRPr="008F7BCC">
        <w:rPr>
          <w:rFonts w:ascii="Times New Roman" w:eastAsia="Times New Roman" w:hAnsi="Times New Roman" w:cs="Times New Roman"/>
          <w:sz w:val="24"/>
          <w:szCs w:val="24"/>
        </w:rPr>
        <w:t xml:space="preserve">There are a limited number of computers in </w:t>
      </w:r>
      <w:r w:rsidR="00123B36">
        <w:rPr>
          <w:rFonts w:ascii="Times New Roman" w:eastAsia="Times New Roman" w:hAnsi="Times New Roman" w:cs="Times New Roman"/>
          <w:sz w:val="24"/>
          <w:szCs w:val="24"/>
        </w:rPr>
        <w:t>the schools –</w:t>
      </w:r>
      <w:r w:rsidR="00EB261E">
        <w:rPr>
          <w:rFonts w:ascii="Times New Roman" w:eastAsia="Times New Roman" w:hAnsi="Times New Roman" w:cs="Times New Roman"/>
          <w:sz w:val="24"/>
          <w:szCs w:val="24"/>
        </w:rPr>
        <w:t xml:space="preserve"> </w:t>
      </w:r>
      <w:r w:rsidRPr="008F7BCC">
        <w:rPr>
          <w:rFonts w:ascii="Times New Roman" w:eastAsia="Times New Roman" w:hAnsi="Times New Roman" w:cs="Times New Roman"/>
          <w:sz w:val="24"/>
          <w:szCs w:val="24"/>
        </w:rPr>
        <w:t xml:space="preserve">20 computers for </w:t>
      </w:r>
      <w:r w:rsidR="00EB261E">
        <w:rPr>
          <w:rFonts w:ascii="Times New Roman" w:eastAsia="Times New Roman" w:hAnsi="Times New Roman" w:cs="Times New Roman"/>
          <w:sz w:val="24"/>
          <w:szCs w:val="24"/>
        </w:rPr>
        <w:t>more than</w:t>
      </w:r>
      <w:r w:rsidR="00123B36">
        <w:rPr>
          <w:rFonts w:ascii="Times New Roman" w:eastAsia="Times New Roman" w:hAnsi="Times New Roman" w:cs="Times New Roman"/>
          <w:sz w:val="24"/>
          <w:szCs w:val="24"/>
        </w:rPr>
        <w:t xml:space="preserve"> 200 students, and at times,</w:t>
      </w:r>
      <w:r w:rsidR="00EB261E">
        <w:rPr>
          <w:rFonts w:ascii="Times New Roman" w:eastAsia="Times New Roman" w:hAnsi="Times New Roman" w:cs="Times New Roman"/>
          <w:sz w:val="24"/>
          <w:szCs w:val="24"/>
        </w:rPr>
        <w:t xml:space="preserve"> five</w:t>
      </w:r>
      <w:r w:rsidR="00B12975">
        <w:rPr>
          <w:rFonts w:ascii="Times New Roman" w:eastAsia="Times New Roman" w:hAnsi="Times New Roman" w:cs="Times New Roman"/>
          <w:sz w:val="24"/>
          <w:szCs w:val="24"/>
        </w:rPr>
        <w:t xml:space="preserve"> computers for 300 students. </w:t>
      </w:r>
      <w:r w:rsidRPr="008F7BCC">
        <w:rPr>
          <w:rFonts w:ascii="Times New Roman" w:eastAsia="Times New Roman" w:hAnsi="Times New Roman" w:cs="Times New Roman"/>
          <w:sz w:val="24"/>
          <w:szCs w:val="24"/>
        </w:rPr>
        <w:t>The lack of hardware considerably limited the number of students that could both receive training and acce</w:t>
      </w:r>
      <w:r w:rsidR="00EB261E">
        <w:rPr>
          <w:rFonts w:ascii="Times New Roman" w:eastAsia="Times New Roman" w:hAnsi="Times New Roman" w:cs="Times New Roman"/>
          <w:sz w:val="24"/>
          <w:szCs w:val="24"/>
        </w:rPr>
        <w:t>ss the e-</w:t>
      </w:r>
      <w:r w:rsidR="00B12975">
        <w:rPr>
          <w:rFonts w:ascii="Times New Roman" w:eastAsia="Times New Roman" w:hAnsi="Times New Roman" w:cs="Times New Roman"/>
          <w:sz w:val="24"/>
          <w:szCs w:val="24"/>
        </w:rPr>
        <w:t>learning materials. Also, I</w:t>
      </w:r>
      <w:r w:rsidRPr="008F7BCC">
        <w:rPr>
          <w:rFonts w:ascii="Times New Roman" w:eastAsia="Times New Roman" w:hAnsi="Times New Roman" w:cs="Times New Roman"/>
          <w:sz w:val="24"/>
          <w:szCs w:val="24"/>
        </w:rPr>
        <w:t>nternet connec</w:t>
      </w:r>
      <w:r w:rsidR="00EB261E">
        <w:rPr>
          <w:rFonts w:ascii="Times New Roman" w:eastAsia="Times New Roman" w:hAnsi="Times New Roman" w:cs="Times New Roman"/>
          <w:sz w:val="24"/>
          <w:szCs w:val="24"/>
        </w:rPr>
        <w:t xml:space="preserve">tivity is not always guaranteed, </w:t>
      </w:r>
      <w:r w:rsidRPr="008F7BCC">
        <w:rPr>
          <w:rFonts w:ascii="Times New Roman" w:eastAsia="Times New Roman" w:hAnsi="Times New Roman" w:cs="Times New Roman"/>
          <w:sz w:val="24"/>
          <w:szCs w:val="24"/>
        </w:rPr>
        <w:t xml:space="preserve">and </w:t>
      </w:r>
      <w:r w:rsidR="00EB261E">
        <w:rPr>
          <w:rFonts w:ascii="Times New Roman" w:eastAsia="Times New Roman" w:hAnsi="Times New Roman" w:cs="Times New Roman"/>
          <w:sz w:val="24"/>
          <w:szCs w:val="24"/>
        </w:rPr>
        <w:t xml:space="preserve">the </w:t>
      </w:r>
      <w:r w:rsidRPr="008F7BCC">
        <w:rPr>
          <w:rFonts w:ascii="Times New Roman" w:eastAsia="Times New Roman" w:hAnsi="Times New Roman" w:cs="Times New Roman"/>
          <w:sz w:val="24"/>
          <w:szCs w:val="24"/>
        </w:rPr>
        <w:t>lack of bandwidth was also an issue.</w:t>
      </w:r>
    </w:p>
    <w:p w14:paraId="018C1397" w14:textId="5B06F0F0" w:rsidR="00EC6760" w:rsidRPr="008F7BCC" w:rsidRDefault="00B12975" w:rsidP="00B37D0F">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Lack of funding –</w:t>
      </w:r>
      <w:r w:rsidR="00D929DF" w:rsidRPr="008F7BCC">
        <w:rPr>
          <w:rFonts w:ascii="Times New Roman" w:eastAsia="Times New Roman" w:hAnsi="Times New Roman" w:cs="Times New Roman"/>
          <w:b/>
          <w:sz w:val="24"/>
          <w:szCs w:val="24"/>
        </w:rPr>
        <w:t xml:space="preserve"> </w:t>
      </w:r>
      <w:r w:rsidR="00D929DF" w:rsidRPr="008F7BCC">
        <w:rPr>
          <w:rFonts w:ascii="Times New Roman" w:eastAsia="Times New Roman" w:hAnsi="Times New Roman" w:cs="Times New Roman"/>
          <w:sz w:val="24"/>
          <w:szCs w:val="24"/>
        </w:rPr>
        <w:t>A lack of funding impeded more students from receiving services.</w:t>
      </w:r>
    </w:p>
    <w:p w14:paraId="75D83290" w14:textId="337B9AB5" w:rsidR="00EC6760" w:rsidRPr="008F7BCC" w:rsidRDefault="00FB41F3" w:rsidP="00B37D0F">
      <w:pPr>
        <w:pStyle w:val="Normal1"/>
        <w:spacing w:after="120" w:line="240" w:lineRule="auto"/>
        <w:jc w:val="both"/>
        <w:rPr>
          <w:rFonts w:ascii="Times New Roman" w:eastAsia="Times New Roman" w:hAnsi="Times New Roman" w:cs="Times New Roman"/>
          <w:sz w:val="24"/>
          <w:szCs w:val="24"/>
        </w:rPr>
      </w:pPr>
      <w:r w:rsidRPr="008F7BCC">
        <w:rPr>
          <w:rFonts w:ascii="Times New Roman" w:eastAsia="Times New Roman" w:hAnsi="Times New Roman" w:cs="Times New Roman"/>
          <w:b/>
          <w:sz w:val="24"/>
          <w:szCs w:val="24"/>
        </w:rPr>
        <w:t xml:space="preserve">Lack of </w:t>
      </w:r>
      <w:r w:rsidR="000E6E16">
        <w:rPr>
          <w:rFonts w:ascii="Times New Roman" w:eastAsia="Times New Roman" w:hAnsi="Times New Roman" w:cs="Times New Roman"/>
          <w:b/>
          <w:sz w:val="24"/>
          <w:szCs w:val="24"/>
        </w:rPr>
        <w:t xml:space="preserve">skills </w:t>
      </w:r>
      <w:r w:rsidR="00B12975">
        <w:rPr>
          <w:rFonts w:ascii="Times New Roman" w:eastAsia="Times New Roman" w:hAnsi="Times New Roman" w:cs="Times New Roman"/>
          <w:b/>
          <w:sz w:val="24"/>
          <w:szCs w:val="24"/>
        </w:rPr>
        <w:t xml:space="preserve">– </w:t>
      </w:r>
      <w:r w:rsidR="00D929DF" w:rsidRPr="008F7BCC">
        <w:rPr>
          <w:rFonts w:ascii="Times New Roman" w:eastAsia="Times New Roman" w:hAnsi="Times New Roman" w:cs="Times New Roman"/>
          <w:sz w:val="24"/>
          <w:szCs w:val="24"/>
        </w:rPr>
        <w:t xml:space="preserve">At the outset of the project, </w:t>
      </w:r>
      <w:r w:rsidRPr="008F7BCC">
        <w:rPr>
          <w:rFonts w:ascii="Times New Roman" w:eastAsia="Times New Roman" w:hAnsi="Times New Roman" w:cs="Times New Roman"/>
          <w:sz w:val="24"/>
          <w:szCs w:val="24"/>
        </w:rPr>
        <w:t>the</w:t>
      </w:r>
      <w:r w:rsidR="00D929DF" w:rsidRPr="008F7BCC">
        <w:rPr>
          <w:rFonts w:ascii="Times New Roman" w:eastAsia="Times New Roman" w:hAnsi="Times New Roman" w:cs="Times New Roman"/>
          <w:sz w:val="24"/>
          <w:szCs w:val="24"/>
        </w:rPr>
        <w:t xml:space="preserve"> students </w:t>
      </w:r>
      <w:r w:rsidRPr="008F7BCC">
        <w:rPr>
          <w:rFonts w:ascii="Times New Roman" w:eastAsia="Times New Roman" w:hAnsi="Times New Roman" w:cs="Times New Roman"/>
          <w:sz w:val="24"/>
          <w:szCs w:val="24"/>
        </w:rPr>
        <w:t>are assumed to</w:t>
      </w:r>
      <w:r w:rsidR="00D929DF" w:rsidRPr="008F7BCC">
        <w:rPr>
          <w:rFonts w:ascii="Times New Roman" w:eastAsia="Times New Roman" w:hAnsi="Times New Roman" w:cs="Times New Roman"/>
          <w:sz w:val="24"/>
          <w:szCs w:val="24"/>
        </w:rPr>
        <w:t xml:space="preserve"> have at least b</w:t>
      </w:r>
      <w:r w:rsidR="00FE109E">
        <w:rPr>
          <w:rFonts w:ascii="Times New Roman" w:eastAsia="Times New Roman" w:hAnsi="Times New Roman" w:cs="Times New Roman"/>
          <w:sz w:val="24"/>
          <w:szCs w:val="24"/>
        </w:rPr>
        <w:t xml:space="preserve">aseline familiarity with ICTs; </w:t>
      </w:r>
      <w:r w:rsidRPr="008F7BCC">
        <w:rPr>
          <w:rFonts w:ascii="Times New Roman" w:eastAsia="Times New Roman" w:hAnsi="Times New Roman" w:cs="Times New Roman"/>
          <w:sz w:val="24"/>
          <w:szCs w:val="24"/>
        </w:rPr>
        <w:t xml:space="preserve">however, this was not the case. </w:t>
      </w:r>
      <w:r w:rsidR="00D929DF" w:rsidRPr="008F7BCC">
        <w:rPr>
          <w:rFonts w:ascii="Times New Roman" w:eastAsia="Times New Roman" w:hAnsi="Times New Roman" w:cs="Times New Roman"/>
          <w:sz w:val="24"/>
          <w:szCs w:val="24"/>
        </w:rPr>
        <w:t>In addition,</w:t>
      </w:r>
      <w:r w:rsidRPr="008F7BCC">
        <w:rPr>
          <w:rFonts w:ascii="Times New Roman" w:eastAsia="Times New Roman" w:hAnsi="Times New Roman" w:cs="Times New Roman"/>
          <w:sz w:val="24"/>
          <w:szCs w:val="24"/>
        </w:rPr>
        <w:t xml:space="preserve"> the training</w:t>
      </w:r>
      <w:r w:rsidR="00D929DF" w:rsidRPr="008F7BCC">
        <w:rPr>
          <w:rFonts w:ascii="Times New Roman" w:eastAsia="Times New Roman" w:hAnsi="Times New Roman" w:cs="Times New Roman"/>
          <w:sz w:val="24"/>
          <w:szCs w:val="24"/>
        </w:rPr>
        <w:t xml:space="preserve"> and e-materials are in English, and many students do not have enough fluency to </w:t>
      </w:r>
      <w:r w:rsidR="00FE109E">
        <w:rPr>
          <w:rFonts w:ascii="Times New Roman" w:eastAsia="Times New Roman" w:hAnsi="Times New Roman" w:cs="Times New Roman"/>
          <w:sz w:val="24"/>
          <w:szCs w:val="24"/>
        </w:rPr>
        <w:t>make full use of the offerings.</w:t>
      </w:r>
      <w:r w:rsidR="00D929DF" w:rsidRPr="008F7BCC">
        <w:rPr>
          <w:rFonts w:ascii="Times New Roman" w:eastAsia="Times New Roman" w:hAnsi="Times New Roman" w:cs="Times New Roman"/>
          <w:sz w:val="24"/>
          <w:szCs w:val="24"/>
        </w:rPr>
        <w:t xml:space="preserve"> Localized Nepalese language materials would be a boon.</w:t>
      </w:r>
    </w:p>
    <w:p w14:paraId="0218B82F" w14:textId="6B01A20A" w:rsidR="00EC6760" w:rsidRPr="008F7BCC" w:rsidRDefault="00EC7C30" w:rsidP="00046D6F">
      <w:pPr>
        <w:pStyle w:val="Heading1"/>
        <w:rPr>
          <w:b/>
        </w:rPr>
      </w:pPr>
      <w:r w:rsidRPr="00EC7C30">
        <w:t>Online Vidyalaya</w:t>
      </w:r>
      <w:r>
        <w:t>’</w:t>
      </w:r>
      <w:r w:rsidR="00D929DF" w:rsidRPr="008F7BCC">
        <w:t>s</w:t>
      </w:r>
      <w:r>
        <w:t xml:space="preserve"> Suggestions for Future Projects</w:t>
      </w:r>
    </w:p>
    <w:p w14:paraId="095EA397" w14:textId="3DAAEBC1" w:rsidR="00EC6760" w:rsidRPr="008F7BCC" w:rsidRDefault="000E6E16" w:rsidP="00B37D0F">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Training duration should be optimized to local contextual realities of the target population </w:t>
      </w:r>
      <w:r w:rsidR="00B12975">
        <w:rPr>
          <w:rFonts w:ascii="Times New Roman" w:eastAsia="Times New Roman" w:hAnsi="Times New Roman" w:cs="Times New Roman"/>
          <w:b/>
          <w:sz w:val="24"/>
          <w:szCs w:val="24"/>
        </w:rPr>
        <w:t xml:space="preserve">– </w:t>
      </w:r>
      <w:r w:rsidR="00D929DF" w:rsidRPr="008F7BCC">
        <w:rPr>
          <w:rFonts w:ascii="Times New Roman" w:eastAsia="Times New Roman" w:hAnsi="Times New Roman" w:cs="Times New Roman"/>
          <w:sz w:val="24"/>
          <w:szCs w:val="24"/>
        </w:rPr>
        <w:t xml:space="preserve">The lack of hardware and consequent low familiarity </w:t>
      </w:r>
      <w:r w:rsidR="00B12975">
        <w:rPr>
          <w:rFonts w:ascii="Times New Roman" w:eastAsia="Times New Roman" w:hAnsi="Times New Roman" w:cs="Times New Roman"/>
          <w:sz w:val="24"/>
          <w:szCs w:val="24"/>
        </w:rPr>
        <w:t xml:space="preserve">caused led to copious hurdles. </w:t>
      </w:r>
      <w:r w:rsidR="00D929DF" w:rsidRPr="008F7BCC">
        <w:rPr>
          <w:rFonts w:ascii="Times New Roman" w:eastAsia="Times New Roman" w:hAnsi="Times New Roman" w:cs="Times New Roman"/>
          <w:sz w:val="24"/>
          <w:szCs w:val="24"/>
        </w:rPr>
        <w:t>More hardware means more students can benefi</w:t>
      </w:r>
      <w:r w:rsidR="00B12975">
        <w:rPr>
          <w:rFonts w:ascii="Times New Roman" w:eastAsia="Times New Roman" w:hAnsi="Times New Roman" w:cs="Times New Roman"/>
          <w:sz w:val="24"/>
          <w:szCs w:val="24"/>
        </w:rPr>
        <w:t xml:space="preserve">t from programs such as these. </w:t>
      </w:r>
      <w:r w:rsidR="00D929DF" w:rsidRPr="008F7BCC">
        <w:rPr>
          <w:rFonts w:ascii="Times New Roman" w:eastAsia="Times New Roman" w:hAnsi="Times New Roman" w:cs="Times New Roman"/>
          <w:sz w:val="24"/>
          <w:szCs w:val="24"/>
        </w:rPr>
        <w:t xml:space="preserve">In addition, the trainers felt that students would </w:t>
      </w:r>
      <w:r w:rsidR="00B12975">
        <w:rPr>
          <w:rFonts w:ascii="Times New Roman" w:eastAsia="Times New Roman" w:hAnsi="Times New Roman" w:cs="Times New Roman"/>
          <w:sz w:val="24"/>
          <w:szCs w:val="24"/>
        </w:rPr>
        <w:t>benefit from a longer training.</w:t>
      </w:r>
      <w:r w:rsidR="00D929DF" w:rsidRPr="008F7BCC">
        <w:rPr>
          <w:rFonts w:ascii="Times New Roman" w:eastAsia="Times New Roman" w:hAnsi="Times New Roman" w:cs="Times New Roman"/>
          <w:sz w:val="24"/>
          <w:szCs w:val="24"/>
        </w:rPr>
        <w:t xml:space="preserve"> They estimate at least a week is necessary for the most impactful results.</w:t>
      </w:r>
    </w:p>
    <w:p w14:paraId="0E4DEA8E" w14:textId="61C86B28" w:rsidR="00EC6760" w:rsidRPr="008F7BCC" w:rsidRDefault="000E6E16" w:rsidP="00B37D0F">
      <w:pPr>
        <w:pStyle w:val="Normal1"/>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Governmental support could go a long way in sustaining online education initiatives </w:t>
      </w:r>
      <w:r w:rsidR="00B12975">
        <w:rPr>
          <w:rFonts w:ascii="Times New Roman" w:eastAsia="Times New Roman" w:hAnsi="Times New Roman" w:cs="Times New Roman"/>
          <w:b/>
          <w:sz w:val="24"/>
          <w:szCs w:val="24"/>
        </w:rPr>
        <w:t xml:space="preserve">– </w:t>
      </w:r>
      <w:r w:rsidR="00D929DF" w:rsidRPr="008F7BCC">
        <w:rPr>
          <w:rFonts w:ascii="Times New Roman" w:eastAsia="Times New Roman" w:hAnsi="Times New Roman" w:cs="Times New Roman"/>
          <w:sz w:val="24"/>
          <w:szCs w:val="24"/>
        </w:rPr>
        <w:t>While the program chose government schools, the Nepalese government’s only support came in the for</w:t>
      </w:r>
      <w:r w:rsidR="00B12975">
        <w:rPr>
          <w:rFonts w:ascii="Times New Roman" w:eastAsia="Times New Roman" w:hAnsi="Times New Roman" w:cs="Times New Roman"/>
          <w:sz w:val="24"/>
          <w:szCs w:val="24"/>
        </w:rPr>
        <w:t xml:space="preserve">m of making e-books available. </w:t>
      </w:r>
      <w:r w:rsidR="00D929DF" w:rsidRPr="008F7BCC">
        <w:rPr>
          <w:rFonts w:ascii="Times New Roman" w:eastAsia="Times New Roman" w:hAnsi="Times New Roman" w:cs="Times New Roman"/>
          <w:sz w:val="24"/>
          <w:szCs w:val="24"/>
        </w:rPr>
        <w:t xml:space="preserve">Further governmental support would </w:t>
      </w:r>
      <w:r w:rsidR="00FE109E">
        <w:rPr>
          <w:rFonts w:ascii="Times New Roman" w:eastAsia="Times New Roman" w:hAnsi="Times New Roman" w:cs="Times New Roman"/>
          <w:sz w:val="24"/>
          <w:szCs w:val="24"/>
        </w:rPr>
        <w:t xml:space="preserve">likely </w:t>
      </w:r>
      <w:r w:rsidR="00D929DF" w:rsidRPr="008F7BCC">
        <w:rPr>
          <w:rFonts w:ascii="Times New Roman" w:eastAsia="Times New Roman" w:hAnsi="Times New Roman" w:cs="Times New Roman"/>
          <w:sz w:val="24"/>
          <w:szCs w:val="24"/>
        </w:rPr>
        <w:t>help in providing time in the curriculum for this type of training and much needed funding and resources.</w:t>
      </w:r>
    </w:p>
    <w:p w14:paraId="5E2BF3F5" w14:textId="77777777" w:rsidR="00EC6760" w:rsidRPr="008F7BCC" w:rsidRDefault="00D929DF" w:rsidP="00046D6F">
      <w:pPr>
        <w:pStyle w:val="Heading1"/>
        <w:rPr>
          <w:b/>
        </w:rPr>
      </w:pPr>
      <w:r w:rsidRPr="008F7BCC">
        <w:t>Sources</w:t>
      </w:r>
    </w:p>
    <w:p w14:paraId="660ED7B8" w14:textId="000EAE3E" w:rsidR="00B37D0F" w:rsidRDefault="00B37D0F" w:rsidP="00B37D0F">
      <w:pPr>
        <w:pStyle w:val="Normal1"/>
        <w:spacing w:after="12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Poudel, R. (2017, </w:t>
      </w:r>
      <w:r w:rsidR="00046D6F">
        <w:rPr>
          <w:rFonts w:ascii="Times New Roman" w:eastAsia="Times New Roman" w:hAnsi="Times New Roman" w:cs="Times New Roman"/>
          <w:sz w:val="24"/>
          <w:szCs w:val="24"/>
        </w:rPr>
        <w:t>July 31</w:t>
      </w:r>
      <w:r>
        <w:rPr>
          <w:rFonts w:ascii="Times New Roman" w:eastAsia="Times New Roman" w:hAnsi="Times New Roman" w:cs="Times New Roman"/>
          <w:sz w:val="24"/>
          <w:szCs w:val="24"/>
        </w:rPr>
        <w:t>)</w:t>
      </w:r>
      <w:r w:rsidR="00046D6F">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Personal Interview.</w:t>
      </w:r>
    </w:p>
    <w:p w14:paraId="412EF7A3" w14:textId="747921B3" w:rsidR="008F7BCC" w:rsidRPr="008F7BCC" w:rsidRDefault="00D929DF" w:rsidP="00B37D0F">
      <w:pPr>
        <w:pStyle w:val="Normal1"/>
        <w:spacing w:after="120" w:line="240" w:lineRule="auto"/>
        <w:contextualSpacing/>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 xml:space="preserve">Poudel, Rajendra Prasad. (2014). “Final Report on Internet – Past and Future – The Tool for </w:t>
      </w:r>
    </w:p>
    <w:p w14:paraId="08592503" w14:textId="63D78172" w:rsidR="00EC6760" w:rsidRPr="000E6E16" w:rsidRDefault="00D929DF" w:rsidP="000E6E16">
      <w:pPr>
        <w:pStyle w:val="Normal1"/>
        <w:spacing w:after="120" w:line="240" w:lineRule="auto"/>
        <w:ind w:firstLine="720"/>
        <w:contextualSpacing/>
        <w:rPr>
          <w:rFonts w:ascii="Times New Roman" w:eastAsia="Times New Roman" w:hAnsi="Times New Roman" w:cs="Times New Roman"/>
          <w:sz w:val="24"/>
          <w:szCs w:val="24"/>
        </w:rPr>
      </w:pPr>
      <w:r w:rsidRPr="008F7BCC">
        <w:rPr>
          <w:rFonts w:ascii="Times New Roman" w:eastAsia="Times New Roman" w:hAnsi="Times New Roman" w:cs="Times New Roman"/>
          <w:sz w:val="24"/>
          <w:szCs w:val="24"/>
        </w:rPr>
        <w:t>Education Revolution.” Internet Society Community Grants Program.</w:t>
      </w:r>
    </w:p>
    <w:sectPr w:rsidR="00EC6760" w:rsidRPr="000E6E16" w:rsidSect="006D6B06">
      <w:footerReference w:type="even" r:id="rId8"/>
      <w:footerReference w:type="default" r:id="rId9"/>
      <w:headerReference w:type="first" r:id="rId10"/>
      <w:footerReference w:type="first" r:id="rId11"/>
      <w:pgSz w:w="11900" w:h="16840"/>
      <w:pgMar w:top="1440" w:right="1440" w:bottom="1440" w:left="1440" w:header="288" w:footer="8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048D" w14:textId="77777777" w:rsidR="000901AF" w:rsidRDefault="000901AF">
      <w:pPr>
        <w:spacing w:after="0" w:line="240" w:lineRule="auto"/>
      </w:pPr>
      <w:r>
        <w:separator/>
      </w:r>
    </w:p>
  </w:endnote>
  <w:endnote w:type="continuationSeparator" w:id="0">
    <w:p w14:paraId="17BB8AB2" w14:textId="77777777" w:rsidR="000901AF" w:rsidRDefault="00090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8714083"/>
      <w:docPartObj>
        <w:docPartGallery w:val="Page Numbers (Bottom of Page)"/>
        <w:docPartUnique/>
      </w:docPartObj>
    </w:sdtPr>
    <w:sdtEndPr>
      <w:rPr>
        <w:rStyle w:val="PageNumber"/>
      </w:rPr>
    </w:sdtEndPr>
    <w:sdtContent>
      <w:p w14:paraId="1909FD92" w14:textId="6543175F" w:rsidR="006D6B06" w:rsidRDefault="006D6B06" w:rsidP="000E6E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EF15C0" w14:textId="77777777" w:rsidR="006D6B06" w:rsidRDefault="006D6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3401775"/>
      <w:docPartObj>
        <w:docPartGallery w:val="Page Numbers (Bottom of Page)"/>
        <w:docPartUnique/>
      </w:docPartObj>
    </w:sdtPr>
    <w:sdtEndPr>
      <w:rPr>
        <w:rStyle w:val="PageNumber"/>
        <w:rFonts w:ascii="Times New Roman" w:hAnsi="Times New Roman" w:cs="Times New Roman"/>
        <w:sz w:val="24"/>
        <w:szCs w:val="24"/>
      </w:rPr>
    </w:sdtEndPr>
    <w:sdtContent>
      <w:p w14:paraId="06AF683A" w14:textId="7EDFAB5D" w:rsidR="000E6E16" w:rsidRPr="000E6E16" w:rsidRDefault="000E6E16" w:rsidP="00E92D31">
        <w:pPr>
          <w:pStyle w:val="Footer"/>
          <w:framePr w:wrap="none" w:vAnchor="text" w:hAnchor="margin" w:xAlign="center" w:y="1"/>
          <w:rPr>
            <w:rStyle w:val="PageNumber"/>
            <w:rFonts w:ascii="Times New Roman" w:hAnsi="Times New Roman" w:cs="Times New Roman"/>
            <w:sz w:val="24"/>
            <w:szCs w:val="24"/>
          </w:rPr>
        </w:pPr>
        <w:r w:rsidRPr="000E6E16">
          <w:rPr>
            <w:rStyle w:val="PageNumber"/>
            <w:rFonts w:ascii="Times New Roman" w:hAnsi="Times New Roman" w:cs="Times New Roman"/>
            <w:sz w:val="24"/>
            <w:szCs w:val="24"/>
          </w:rPr>
          <w:fldChar w:fldCharType="begin"/>
        </w:r>
        <w:r w:rsidRPr="000E6E16">
          <w:rPr>
            <w:rStyle w:val="PageNumber"/>
            <w:rFonts w:ascii="Times New Roman" w:hAnsi="Times New Roman" w:cs="Times New Roman"/>
            <w:sz w:val="24"/>
            <w:szCs w:val="24"/>
          </w:rPr>
          <w:instrText xml:space="preserve"> PAGE </w:instrText>
        </w:r>
        <w:r w:rsidRPr="000E6E16">
          <w:rPr>
            <w:rStyle w:val="PageNumber"/>
            <w:rFonts w:ascii="Times New Roman" w:hAnsi="Times New Roman" w:cs="Times New Roman"/>
            <w:sz w:val="24"/>
            <w:szCs w:val="24"/>
          </w:rPr>
          <w:fldChar w:fldCharType="separate"/>
        </w:r>
        <w:r w:rsidRPr="000E6E16">
          <w:rPr>
            <w:rStyle w:val="PageNumber"/>
            <w:rFonts w:ascii="Times New Roman" w:hAnsi="Times New Roman" w:cs="Times New Roman"/>
            <w:noProof/>
            <w:sz w:val="24"/>
            <w:szCs w:val="24"/>
          </w:rPr>
          <w:t>4</w:t>
        </w:r>
        <w:r w:rsidRPr="000E6E16">
          <w:rPr>
            <w:rStyle w:val="PageNumber"/>
            <w:rFonts w:ascii="Times New Roman" w:hAnsi="Times New Roman" w:cs="Times New Roman"/>
            <w:sz w:val="24"/>
            <w:szCs w:val="24"/>
          </w:rPr>
          <w:fldChar w:fldCharType="end"/>
        </w:r>
      </w:p>
    </w:sdtContent>
  </w:sdt>
  <w:p w14:paraId="4FC64247" w14:textId="77777777" w:rsidR="000E6E16" w:rsidRDefault="000E6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0AA" w14:textId="3E0C10C3" w:rsidR="006D6B06" w:rsidRPr="006D6B06" w:rsidRDefault="006D6B06" w:rsidP="006D6B06">
    <w:pPr>
      <w:pStyle w:val="Footer"/>
      <w:jc w:val="center"/>
      <w:rPr>
        <w:rFonts w:ascii="Times New Roman" w:hAnsi="Times New Roman" w:cs="Times New Roman"/>
        <w:sz w:val="24"/>
        <w:szCs w:val="24"/>
      </w:rPr>
    </w:pPr>
    <w:r w:rsidRPr="006D6B06">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1A6A5" w14:textId="77777777" w:rsidR="000901AF" w:rsidRDefault="000901AF">
      <w:pPr>
        <w:spacing w:after="0" w:line="240" w:lineRule="auto"/>
      </w:pPr>
      <w:r>
        <w:separator/>
      </w:r>
    </w:p>
  </w:footnote>
  <w:footnote w:type="continuationSeparator" w:id="0">
    <w:p w14:paraId="390A3070" w14:textId="77777777" w:rsidR="000901AF" w:rsidRDefault="00090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413E7" w14:textId="743BE2D1" w:rsidR="00EB261E" w:rsidRDefault="006D6B06" w:rsidP="006D6B06">
    <w:pPr>
      <w:pStyle w:val="Normal1"/>
      <w:tabs>
        <w:tab w:val="left" w:pos="6865"/>
      </w:tabs>
      <w:ind w:right="-1150"/>
    </w:pPr>
    <w:r>
      <w:rPr>
        <w:noProof/>
      </w:rPr>
      <w:drawing>
        <wp:anchor distT="0" distB="0" distL="114300" distR="114300" simplePos="0" relativeHeight="251658240" behindDoc="1" locked="0" layoutInCell="1" allowOverlap="1" wp14:anchorId="3879635D" wp14:editId="65E929E8">
          <wp:simplePos x="0" y="0"/>
          <wp:positionH relativeFrom="column">
            <wp:posOffset>-9525</wp:posOffset>
          </wp:positionH>
          <wp:positionV relativeFrom="paragraph">
            <wp:posOffset>0</wp:posOffset>
          </wp:positionV>
          <wp:extent cx="5746776" cy="1133856"/>
          <wp:effectExtent l="0" t="0" r="0" b="0"/>
          <wp:wrapTight wrapText="bothSides">
            <wp:wrapPolygon edited="0">
              <wp:start x="1575" y="0"/>
              <wp:lineTo x="1289" y="242"/>
              <wp:lineTo x="334" y="3388"/>
              <wp:lineTo x="0" y="7503"/>
              <wp:lineTo x="0" y="13069"/>
              <wp:lineTo x="95" y="15489"/>
              <wp:lineTo x="716" y="19361"/>
              <wp:lineTo x="764" y="19603"/>
              <wp:lineTo x="1480" y="21297"/>
              <wp:lineTo x="1575" y="21297"/>
              <wp:lineTo x="2673" y="21297"/>
              <wp:lineTo x="2769" y="21297"/>
              <wp:lineTo x="3485" y="19603"/>
              <wp:lineTo x="3485" y="19361"/>
              <wp:lineTo x="21528" y="17667"/>
              <wp:lineTo x="21528" y="4356"/>
              <wp:lineTo x="3962" y="3146"/>
              <wp:lineTo x="3055" y="484"/>
              <wp:lineTo x="2673" y="0"/>
              <wp:lineTo x="1575"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World-Connected-Logo.png"/>
                  <pic:cNvPicPr/>
                </pic:nvPicPr>
                <pic:blipFill>
                  <a:blip r:embed="rId1"/>
                  <a:stretch>
                    <a:fillRect/>
                  </a:stretch>
                </pic:blipFill>
                <pic:spPr>
                  <a:xfrm>
                    <a:off x="0" y="0"/>
                    <a:ext cx="5746776" cy="1133856"/>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760"/>
    <w:rsid w:val="00011670"/>
    <w:rsid w:val="00027C78"/>
    <w:rsid w:val="00046D6F"/>
    <w:rsid w:val="000901AF"/>
    <w:rsid w:val="000E6E16"/>
    <w:rsid w:val="00123B36"/>
    <w:rsid w:val="001E3610"/>
    <w:rsid w:val="002351C0"/>
    <w:rsid w:val="00257028"/>
    <w:rsid w:val="00294DA6"/>
    <w:rsid w:val="003B3260"/>
    <w:rsid w:val="00434002"/>
    <w:rsid w:val="00487AE7"/>
    <w:rsid w:val="005D6756"/>
    <w:rsid w:val="005D737A"/>
    <w:rsid w:val="00624768"/>
    <w:rsid w:val="006D6B06"/>
    <w:rsid w:val="007A0D21"/>
    <w:rsid w:val="007A1A6A"/>
    <w:rsid w:val="00853CC8"/>
    <w:rsid w:val="008910BE"/>
    <w:rsid w:val="008F7BCC"/>
    <w:rsid w:val="00926E07"/>
    <w:rsid w:val="00A45621"/>
    <w:rsid w:val="00A8252D"/>
    <w:rsid w:val="00AE4C3E"/>
    <w:rsid w:val="00B12975"/>
    <w:rsid w:val="00B37D0F"/>
    <w:rsid w:val="00BB4D3F"/>
    <w:rsid w:val="00BF3BAC"/>
    <w:rsid w:val="00C35F97"/>
    <w:rsid w:val="00C8241F"/>
    <w:rsid w:val="00D929DF"/>
    <w:rsid w:val="00DE0BFA"/>
    <w:rsid w:val="00E31713"/>
    <w:rsid w:val="00EB261E"/>
    <w:rsid w:val="00EC6760"/>
    <w:rsid w:val="00EC7C30"/>
    <w:rsid w:val="00F731F9"/>
    <w:rsid w:val="00FB41F3"/>
    <w:rsid w:val="00FE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31CDF5"/>
  <w15:docId w15:val="{27186081-9156-E24C-B130-AF46B9B5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rsid w:val="00046D6F"/>
    <w:pPr>
      <w:keepNext/>
      <w:keepLines/>
      <w:pBdr>
        <w:bottom w:val="single" w:sz="4" w:space="1" w:color="595959"/>
      </w:pBdr>
      <w:spacing w:before="360" w:after="120" w:line="240" w:lineRule="auto"/>
      <w:outlineLvl w:val="0"/>
    </w:pPr>
    <w:rPr>
      <w:rFonts w:ascii="Georgia" w:eastAsia="Georgia" w:hAnsi="Georgia" w:cs="Georgia"/>
      <w:smallCaps/>
      <w:sz w:val="36"/>
      <w:szCs w:val="36"/>
    </w:rPr>
  </w:style>
  <w:style w:type="paragraph" w:styleId="Heading2">
    <w:name w:val="heading 2"/>
    <w:basedOn w:val="Normal1"/>
    <w:next w:val="Normal1"/>
    <w:pPr>
      <w:keepNext/>
      <w:keepLines/>
      <w:spacing w:before="360"/>
      <w:ind w:left="576" w:hanging="576"/>
      <w:outlineLvl w:val="1"/>
    </w:pPr>
    <w:rPr>
      <w:b/>
      <w:smallCaps/>
      <w:sz w:val="28"/>
      <w:szCs w:val="28"/>
    </w:rPr>
  </w:style>
  <w:style w:type="paragraph" w:styleId="Heading3">
    <w:name w:val="heading 3"/>
    <w:basedOn w:val="Normal1"/>
    <w:next w:val="Normal1"/>
    <w:pPr>
      <w:keepNext/>
      <w:keepLines/>
      <w:spacing w:before="200"/>
      <w:ind w:left="720" w:hanging="720"/>
      <w:outlineLvl w:val="2"/>
    </w:pPr>
    <w:rPr>
      <w:b/>
    </w:rPr>
  </w:style>
  <w:style w:type="paragraph" w:styleId="Heading4">
    <w:name w:val="heading 4"/>
    <w:basedOn w:val="Normal1"/>
    <w:next w:val="Normal1"/>
    <w:pPr>
      <w:keepNext/>
      <w:keepLines/>
      <w:spacing w:before="200"/>
      <w:ind w:left="864" w:hanging="864"/>
      <w:outlineLvl w:val="3"/>
    </w:pPr>
    <w:rPr>
      <w:b/>
      <w:i/>
    </w:rPr>
  </w:style>
  <w:style w:type="paragraph" w:styleId="Heading5">
    <w:name w:val="heading 5"/>
    <w:basedOn w:val="Normal1"/>
    <w:next w:val="Normal1"/>
    <w:pPr>
      <w:keepNext/>
      <w:keepLines/>
      <w:spacing w:before="200"/>
      <w:ind w:left="1008" w:hanging="1008"/>
      <w:outlineLvl w:val="4"/>
    </w:pPr>
    <w:rPr>
      <w:color w:val="323E4F"/>
    </w:rPr>
  </w:style>
  <w:style w:type="paragraph" w:styleId="Heading6">
    <w:name w:val="heading 6"/>
    <w:basedOn w:val="Normal1"/>
    <w:next w:val="Normal1"/>
    <w:pPr>
      <w:keepNext/>
      <w:keepLines/>
      <w:spacing w:before="200"/>
      <w:ind w:left="1152" w:hanging="1152"/>
      <w:outlineLvl w:val="5"/>
    </w:pPr>
    <w:rPr>
      <w:i/>
      <w:color w:val="323E4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contextualSpacing/>
    </w:pPr>
    <w:rPr>
      <w:sz w:val="56"/>
      <w:szCs w:val="56"/>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BalloonText">
    <w:name w:val="Balloon Text"/>
    <w:basedOn w:val="Normal"/>
    <w:link w:val="BalloonTextChar"/>
    <w:uiPriority w:val="99"/>
    <w:semiHidden/>
    <w:unhideWhenUsed/>
    <w:rsid w:val="00294D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DA6"/>
    <w:rPr>
      <w:rFonts w:ascii="Lucida Grande" w:hAnsi="Lucida Grande" w:cs="Lucida Grande"/>
      <w:sz w:val="18"/>
      <w:szCs w:val="18"/>
    </w:rPr>
  </w:style>
  <w:style w:type="character" w:styleId="CommentReference">
    <w:name w:val="annotation reference"/>
    <w:basedOn w:val="DefaultParagraphFont"/>
    <w:uiPriority w:val="99"/>
    <w:semiHidden/>
    <w:unhideWhenUsed/>
    <w:rsid w:val="008F7BCC"/>
    <w:rPr>
      <w:sz w:val="18"/>
      <w:szCs w:val="18"/>
    </w:rPr>
  </w:style>
  <w:style w:type="paragraph" w:styleId="CommentText">
    <w:name w:val="annotation text"/>
    <w:basedOn w:val="Normal"/>
    <w:link w:val="CommentTextChar"/>
    <w:uiPriority w:val="99"/>
    <w:semiHidden/>
    <w:unhideWhenUsed/>
    <w:rsid w:val="008F7BCC"/>
    <w:pPr>
      <w:spacing w:line="240" w:lineRule="auto"/>
    </w:pPr>
    <w:rPr>
      <w:sz w:val="24"/>
      <w:szCs w:val="24"/>
    </w:rPr>
  </w:style>
  <w:style w:type="character" w:customStyle="1" w:styleId="CommentTextChar">
    <w:name w:val="Comment Text Char"/>
    <w:basedOn w:val="DefaultParagraphFont"/>
    <w:link w:val="CommentText"/>
    <w:uiPriority w:val="99"/>
    <w:semiHidden/>
    <w:rsid w:val="008F7BCC"/>
    <w:rPr>
      <w:sz w:val="24"/>
      <w:szCs w:val="24"/>
    </w:rPr>
  </w:style>
  <w:style w:type="paragraph" w:styleId="CommentSubject">
    <w:name w:val="annotation subject"/>
    <w:basedOn w:val="CommentText"/>
    <w:next w:val="CommentText"/>
    <w:link w:val="CommentSubjectChar"/>
    <w:uiPriority w:val="99"/>
    <w:semiHidden/>
    <w:unhideWhenUsed/>
    <w:rsid w:val="008F7BCC"/>
    <w:rPr>
      <w:b/>
      <w:bCs/>
      <w:sz w:val="20"/>
      <w:szCs w:val="20"/>
    </w:rPr>
  </w:style>
  <w:style w:type="character" w:customStyle="1" w:styleId="CommentSubjectChar">
    <w:name w:val="Comment Subject Char"/>
    <w:basedOn w:val="CommentTextChar"/>
    <w:link w:val="CommentSubject"/>
    <w:uiPriority w:val="99"/>
    <w:semiHidden/>
    <w:rsid w:val="008F7BCC"/>
    <w:rPr>
      <w:b/>
      <w:bCs/>
      <w:sz w:val="20"/>
      <w:szCs w:val="20"/>
    </w:rPr>
  </w:style>
  <w:style w:type="paragraph" w:styleId="Header">
    <w:name w:val="header"/>
    <w:basedOn w:val="Normal"/>
    <w:link w:val="HeaderChar"/>
    <w:uiPriority w:val="99"/>
    <w:unhideWhenUsed/>
    <w:rsid w:val="006D6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B06"/>
  </w:style>
  <w:style w:type="paragraph" w:styleId="Footer">
    <w:name w:val="footer"/>
    <w:basedOn w:val="Normal"/>
    <w:link w:val="FooterChar"/>
    <w:uiPriority w:val="99"/>
    <w:unhideWhenUsed/>
    <w:rsid w:val="006D6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B06"/>
  </w:style>
  <w:style w:type="character" w:styleId="PageNumber">
    <w:name w:val="page number"/>
    <w:basedOn w:val="DefaultParagraphFont"/>
    <w:uiPriority w:val="99"/>
    <w:semiHidden/>
    <w:unhideWhenUsed/>
    <w:rsid w:val="006D6B06"/>
  </w:style>
  <w:style w:type="paragraph" w:customStyle="1" w:styleId="Tableheader">
    <w:name w:val="Table header"/>
    <w:basedOn w:val="Normal"/>
    <w:autoRedefine/>
    <w:qFormat/>
    <w:rsid w:val="000E6E16"/>
    <w:pPr>
      <w:pBdr>
        <w:top w:val="none" w:sz="0" w:space="0" w:color="auto"/>
        <w:left w:val="none" w:sz="0" w:space="0" w:color="auto"/>
        <w:bottom w:val="none" w:sz="0" w:space="0" w:color="auto"/>
        <w:right w:val="none" w:sz="0" w:space="0" w:color="auto"/>
        <w:between w:val="none" w:sz="0" w:space="0" w:color="auto"/>
      </w:pBdr>
      <w:spacing w:before="100" w:after="100" w:line="240" w:lineRule="auto"/>
      <w:contextualSpacing/>
      <w:jc w:val="center"/>
    </w:pPr>
    <w:rPr>
      <w:rFonts w:ascii="Times New Roman" w:eastAsiaTheme="minorEastAsia" w:hAnsi="Times New Roman" w:cs="Times New Roman"/>
      <w:b/>
      <w:color w:val="auto"/>
      <w:sz w:val="24"/>
      <w:lang w:eastAsia="ja-JP"/>
    </w:rPr>
  </w:style>
  <w:style w:type="paragraph" w:customStyle="1" w:styleId="StyleCentered">
    <w:name w:val="Style Centered"/>
    <w:basedOn w:val="Normal"/>
    <w:autoRedefine/>
    <w:qFormat/>
    <w:rsid w:val="000E6E16"/>
    <w:pPr>
      <w:spacing w:after="120" w:line="240" w:lineRule="auto"/>
      <w:jc w:val="center"/>
    </w:pPr>
    <w:rPr>
      <w:rFonts w:ascii="Times New Roman" w:eastAsia="Times New Roman" w:hAnsi="Times New Roman" w:cs="Times New Roman"/>
      <w:color w:val="auto"/>
      <w:sz w:val="24"/>
      <w:szCs w:val="20"/>
    </w:rPr>
  </w:style>
  <w:style w:type="table" w:styleId="TableGrid">
    <w:name w:val="Table Grid"/>
    <w:basedOn w:val="TableNormal"/>
    <w:uiPriority w:val="59"/>
    <w:rsid w:val="000E6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3FE37-8D16-2F48-9F56-BDE03FF0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Sharada Srinivasan</cp:lastModifiedBy>
  <cp:revision>3</cp:revision>
  <dcterms:created xsi:type="dcterms:W3CDTF">2018-02-01T00:20:00Z</dcterms:created>
  <dcterms:modified xsi:type="dcterms:W3CDTF">2018-02-02T23:18:00Z</dcterms:modified>
</cp:coreProperties>
</file>