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1E5E0F18" w:rsidR="00286CB9" w:rsidRPr="003E2FB7" w:rsidRDefault="00A916F9" w:rsidP="00890928">
      <w:pPr>
        <w:pStyle w:val="Title"/>
      </w:pPr>
      <w:r w:rsidRPr="003E2FB7">
        <w:t>KEDESA.ID</w:t>
      </w:r>
    </w:p>
    <w:p w14:paraId="550427B0" w14:textId="77777777" w:rsidR="00890928" w:rsidRDefault="003E2FB7" w:rsidP="00890928">
      <w:pPr>
        <w:pStyle w:val="Subtitle"/>
        <w:spacing w:after="120"/>
        <w:contextualSpacing/>
      </w:pPr>
      <w:r w:rsidRPr="003E2FB7">
        <w:t>PROVIDING VILLAGE LAW E-GOVERNMENT</w:t>
      </w:r>
      <w:r w:rsidR="00890928">
        <w:t xml:space="preserve"> SERVICES</w:t>
      </w:r>
    </w:p>
    <w:p w14:paraId="34F7964E" w14:textId="06B47AFB" w:rsidR="00286CB9" w:rsidRPr="003E2FB7" w:rsidRDefault="003E2FB7" w:rsidP="00890928">
      <w:pPr>
        <w:pStyle w:val="Subtitle"/>
        <w:spacing w:after="120"/>
        <w:contextualSpacing/>
      </w:pPr>
      <w:r w:rsidRPr="003E2FB7">
        <w:t xml:space="preserve"> </w:t>
      </w:r>
      <w:r w:rsidR="00890928">
        <w:t>IN INDONESIA</w:t>
      </w:r>
    </w:p>
    <w:p w14:paraId="20CA8756" w14:textId="28755728" w:rsidR="006C13DF" w:rsidRPr="003E2FB7" w:rsidRDefault="006C13DF" w:rsidP="000C7BDE">
      <w:pPr>
        <w:jc w:val="center"/>
      </w:pPr>
      <w:r w:rsidRPr="003E2FB7">
        <w:rPr>
          <w:noProof/>
          <w:lang w:eastAsia="en-US"/>
        </w:rPr>
        <w:drawing>
          <wp:inline distT="0" distB="0" distL="0" distR="0" wp14:anchorId="3D35F3A0" wp14:editId="3FF6E1B7">
            <wp:extent cx="5698336" cy="2063115"/>
            <wp:effectExtent l="0" t="0" r="0" b="0"/>
            <wp:docPr id="1" name="Picture 1" descr="whatsapp-image-2017-01-04-at-07-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image-2017-01-04-at-07-16-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082" cy="2133624"/>
                    </a:xfrm>
                    <a:prstGeom prst="rect">
                      <a:avLst/>
                    </a:prstGeom>
                    <a:noFill/>
                    <a:ln>
                      <a:noFill/>
                    </a:ln>
                  </pic:spPr>
                </pic:pic>
              </a:graphicData>
            </a:graphic>
          </wp:inline>
        </w:drawing>
      </w:r>
      <w:proofErr w:type="spellStart"/>
      <w:r w:rsidR="00A916F9" w:rsidRPr="003E2FB7">
        <w:rPr>
          <w:i/>
        </w:rPr>
        <w:t>Kedesa</w:t>
      </w:r>
      <w:proofErr w:type="spellEnd"/>
      <w:r w:rsidR="00A916F9" w:rsidRPr="003E2FB7">
        <w:rPr>
          <w:i/>
        </w:rPr>
        <w:t xml:space="preserve"> portal map and interface. </w:t>
      </w:r>
      <w:r w:rsidR="004D36C8" w:rsidRPr="003E2FB7">
        <w:rPr>
          <w:i/>
        </w:rPr>
        <w:t>Photo credit: Kedesa.id</w:t>
      </w:r>
    </w:p>
    <w:p w14:paraId="5E1020E3" w14:textId="0C2F72B7" w:rsidR="00286CB9" w:rsidRPr="003E2FB7" w:rsidRDefault="00286CB9" w:rsidP="000C7BDE">
      <w:pPr>
        <w:pStyle w:val="Heading1"/>
        <w:rPr>
          <w:b/>
          <w:color w:val="auto"/>
        </w:rPr>
      </w:pPr>
      <w:r w:rsidRPr="003E2FB7">
        <w:rPr>
          <w:color w:val="auto"/>
        </w:rPr>
        <w:t>Executive S</w:t>
      </w:r>
      <w:r w:rsidR="00DD7C2B" w:rsidRPr="003E2FB7">
        <w:rPr>
          <w:color w:val="auto"/>
        </w:rPr>
        <w:t>ummar</w:t>
      </w:r>
      <w:r w:rsidRPr="003E2FB7">
        <w:rPr>
          <w:color w:val="auto"/>
        </w:rPr>
        <w:t xml:space="preserve">y </w:t>
      </w:r>
    </w:p>
    <w:p w14:paraId="65BACC4D" w14:textId="7B2883BC" w:rsidR="00D60D5D" w:rsidRPr="003E2FB7" w:rsidRDefault="00A916F9" w:rsidP="000C7BDE">
      <w:pPr>
        <w:pStyle w:val="NoSpacing"/>
        <w:jc w:val="both"/>
        <w:rPr>
          <w:rFonts w:ascii="Times New Roman" w:hAnsi="Times New Roman" w:cs="Times New Roman"/>
          <w:sz w:val="24"/>
        </w:rPr>
      </w:pPr>
      <w:proofErr w:type="spellStart"/>
      <w:r w:rsidRPr="003E2FB7">
        <w:rPr>
          <w:rFonts w:ascii="Times New Roman" w:hAnsi="Times New Roman" w:cs="Times New Roman"/>
          <w:sz w:val="24"/>
        </w:rPr>
        <w:t>Kedesa</w:t>
      </w:r>
      <w:proofErr w:type="spellEnd"/>
      <w:r w:rsidRPr="003E2FB7">
        <w:rPr>
          <w:rFonts w:ascii="Times New Roman" w:hAnsi="Times New Roman" w:cs="Times New Roman"/>
          <w:sz w:val="24"/>
        </w:rPr>
        <w:t xml:space="preserve"> is a web-based e-government platform </w:t>
      </w:r>
      <w:r w:rsidR="00526E6B" w:rsidRPr="003E2FB7">
        <w:rPr>
          <w:rFonts w:ascii="Times New Roman" w:hAnsi="Times New Roman" w:cs="Times New Roman"/>
          <w:sz w:val="24"/>
        </w:rPr>
        <w:t>developed</w:t>
      </w:r>
      <w:r w:rsidR="003C7B23" w:rsidRPr="003E2FB7">
        <w:rPr>
          <w:rFonts w:ascii="Times New Roman" w:hAnsi="Times New Roman" w:cs="Times New Roman"/>
          <w:sz w:val="24"/>
        </w:rPr>
        <w:t xml:space="preserve"> and implemen</w:t>
      </w:r>
      <w:r w:rsidR="005F02D8" w:rsidRPr="003E2FB7">
        <w:rPr>
          <w:rFonts w:ascii="Times New Roman" w:hAnsi="Times New Roman" w:cs="Times New Roman"/>
          <w:sz w:val="24"/>
        </w:rPr>
        <w:t>ted nationally across Indonesia</w:t>
      </w:r>
      <w:r w:rsidRPr="003E2FB7">
        <w:rPr>
          <w:rFonts w:ascii="Times New Roman" w:hAnsi="Times New Roman" w:cs="Times New Roman"/>
          <w:sz w:val="24"/>
        </w:rPr>
        <w:t xml:space="preserve">. The platform is </w:t>
      </w:r>
      <w:r w:rsidR="00A56EAE" w:rsidRPr="003E2FB7">
        <w:rPr>
          <w:rFonts w:ascii="Times New Roman" w:hAnsi="Times New Roman" w:cs="Times New Roman"/>
          <w:sz w:val="24"/>
        </w:rPr>
        <w:t>implemented</w:t>
      </w:r>
      <w:r w:rsidR="0085547B" w:rsidRPr="003E2FB7">
        <w:rPr>
          <w:rFonts w:ascii="Times New Roman" w:hAnsi="Times New Roman" w:cs="Times New Roman"/>
          <w:sz w:val="24"/>
        </w:rPr>
        <w:t xml:space="preserve"> by the nonprofit research organization PATTIRO. </w:t>
      </w:r>
      <w:r w:rsidR="00A56EAE" w:rsidRPr="003E2FB7">
        <w:rPr>
          <w:rFonts w:ascii="Times New Roman" w:hAnsi="Times New Roman" w:cs="Times New Roman"/>
          <w:sz w:val="24"/>
        </w:rPr>
        <w:t>Launched in July 2016, the project’s</w:t>
      </w:r>
      <w:r w:rsidR="005F02D8" w:rsidRPr="003E2FB7">
        <w:rPr>
          <w:rFonts w:ascii="Times New Roman" w:hAnsi="Times New Roman" w:cs="Times New Roman"/>
          <w:sz w:val="24"/>
        </w:rPr>
        <w:t xml:space="preserve"> purpose is </w:t>
      </w:r>
      <w:r w:rsidR="003C7B23" w:rsidRPr="003E2FB7">
        <w:rPr>
          <w:rFonts w:ascii="Times New Roman" w:hAnsi="Times New Roman" w:cs="Times New Roman"/>
          <w:sz w:val="24"/>
        </w:rPr>
        <w:t xml:space="preserve">to enable stakeholder participation </w:t>
      </w:r>
      <w:r w:rsidR="004D36C8" w:rsidRPr="003E2FB7">
        <w:rPr>
          <w:rFonts w:ascii="Times New Roman" w:hAnsi="Times New Roman" w:cs="Times New Roman"/>
          <w:sz w:val="24"/>
        </w:rPr>
        <w:t>to monitor</w:t>
      </w:r>
      <w:r w:rsidR="003C7B23" w:rsidRPr="003E2FB7">
        <w:rPr>
          <w:rFonts w:ascii="Times New Roman" w:hAnsi="Times New Roman" w:cs="Times New Roman"/>
          <w:sz w:val="24"/>
        </w:rPr>
        <w:t xml:space="preserve"> </w:t>
      </w:r>
      <w:r w:rsidR="00111D11" w:rsidRPr="003E2FB7">
        <w:rPr>
          <w:rFonts w:ascii="Times New Roman" w:hAnsi="Times New Roman" w:cs="Times New Roman"/>
          <w:sz w:val="24"/>
        </w:rPr>
        <w:t xml:space="preserve">local government and implementation of the Village Law </w:t>
      </w:r>
      <w:r w:rsidR="003C7B23" w:rsidRPr="003E2FB7">
        <w:rPr>
          <w:rFonts w:ascii="Times New Roman" w:hAnsi="Times New Roman" w:cs="Times New Roman"/>
          <w:sz w:val="24"/>
        </w:rPr>
        <w:t>through online discussion and information exchange. Kedesa.id is a</w:t>
      </w:r>
      <w:r w:rsidR="004D36C8" w:rsidRPr="003E2FB7">
        <w:rPr>
          <w:rFonts w:ascii="Times New Roman" w:hAnsi="Times New Roman" w:cs="Times New Roman"/>
          <w:sz w:val="24"/>
        </w:rPr>
        <w:t>n online</w:t>
      </w:r>
      <w:r w:rsidR="003C7B23" w:rsidRPr="003E2FB7">
        <w:rPr>
          <w:rFonts w:ascii="Times New Roman" w:hAnsi="Times New Roman" w:cs="Times New Roman"/>
          <w:sz w:val="24"/>
        </w:rPr>
        <w:t xml:space="preserve"> portal integrating four platforms: </w:t>
      </w:r>
      <w:r w:rsidR="004D36C8" w:rsidRPr="003E2FB7">
        <w:rPr>
          <w:rFonts w:ascii="Times New Roman" w:hAnsi="Times New Roman" w:cs="Times New Roman"/>
          <w:sz w:val="24"/>
        </w:rPr>
        <w:t xml:space="preserve">a </w:t>
      </w:r>
      <w:r w:rsidR="003C7B23" w:rsidRPr="003E2FB7">
        <w:rPr>
          <w:rFonts w:ascii="Times New Roman" w:hAnsi="Times New Roman" w:cs="Times New Roman"/>
          <w:sz w:val="24"/>
        </w:rPr>
        <w:t xml:space="preserve">blog, </w:t>
      </w:r>
      <w:r w:rsidR="004D36C8" w:rsidRPr="003E2FB7">
        <w:rPr>
          <w:rFonts w:ascii="Times New Roman" w:hAnsi="Times New Roman" w:cs="Times New Roman"/>
          <w:sz w:val="24"/>
        </w:rPr>
        <w:t xml:space="preserve">a </w:t>
      </w:r>
      <w:r w:rsidR="003C7B23" w:rsidRPr="003E2FB7">
        <w:rPr>
          <w:rFonts w:ascii="Times New Roman" w:hAnsi="Times New Roman" w:cs="Times New Roman"/>
          <w:sz w:val="24"/>
        </w:rPr>
        <w:t>wiki,</w:t>
      </w:r>
      <w:r w:rsidR="004D36C8" w:rsidRPr="003E2FB7">
        <w:rPr>
          <w:rFonts w:ascii="Times New Roman" w:hAnsi="Times New Roman" w:cs="Times New Roman"/>
          <w:sz w:val="24"/>
        </w:rPr>
        <w:t xml:space="preserve"> a document </w:t>
      </w:r>
      <w:r w:rsidR="003C7B23" w:rsidRPr="003E2FB7">
        <w:rPr>
          <w:rFonts w:ascii="Times New Roman" w:hAnsi="Times New Roman" w:cs="Times New Roman"/>
          <w:sz w:val="24"/>
        </w:rPr>
        <w:t>repository, and</w:t>
      </w:r>
      <w:r w:rsidR="004D36C8" w:rsidRPr="003E2FB7">
        <w:rPr>
          <w:rFonts w:ascii="Times New Roman" w:hAnsi="Times New Roman" w:cs="Times New Roman"/>
          <w:sz w:val="24"/>
        </w:rPr>
        <w:t xml:space="preserve"> a discussion </w:t>
      </w:r>
      <w:r w:rsidR="003C7B23" w:rsidRPr="003E2FB7">
        <w:rPr>
          <w:rFonts w:ascii="Times New Roman" w:hAnsi="Times New Roman" w:cs="Times New Roman"/>
          <w:sz w:val="24"/>
        </w:rPr>
        <w:t>forum. The blog</w:t>
      </w:r>
      <w:r w:rsidR="004D36C8" w:rsidRPr="003E2FB7">
        <w:rPr>
          <w:rFonts w:ascii="Times New Roman" w:hAnsi="Times New Roman" w:cs="Times New Roman"/>
          <w:sz w:val="24"/>
        </w:rPr>
        <w:t xml:space="preserve"> contains short articles on the implementation of laws by users. </w:t>
      </w:r>
      <w:r w:rsidR="003C7B23" w:rsidRPr="003E2FB7">
        <w:rPr>
          <w:rFonts w:ascii="Times New Roman" w:hAnsi="Times New Roman" w:cs="Times New Roman"/>
          <w:sz w:val="24"/>
        </w:rPr>
        <w:t>The wiki provides</w:t>
      </w:r>
      <w:r w:rsidR="004D36C8" w:rsidRPr="003E2FB7">
        <w:rPr>
          <w:rFonts w:ascii="Times New Roman" w:hAnsi="Times New Roman" w:cs="Times New Roman"/>
          <w:sz w:val="24"/>
        </w:rPr>
        <w:t xml:space="preserve"> an annotated version of the law that the users can contribute to</w:t>
      </w:r>
      <w:r w:rsidR="003C7B23" w:rsidRPr="003E2FB7">
        <w:rPr>
          <w:rFonts w:ascii="Times New Roman" w:hAnsi="Times New Roman" w:cs="Times New Roman"/>
          <w:sz w:val="24"/>
        </w:rPr>
        <w:t xml:space="preserve">. The repository hosts documents related to the implementation of village governance, including policies, reports, and studies on the practice of village governance. The forum </w:t>
      </w:r>
      <w:r w:rsidR="004D36C8" w:rsidRPr="003E2FB7">
        <w:rPr>
          <w:rFonts w:ascii="Times New Roman" w:hAnsi="Times New Roman" w:cs="Times New Roman"/>
          <w:sz w:val="24"/>
        </w:rPr>
        <w:t xml:space="preserve">serves as an </w:t>
      </w:r>
      <w:r w:rsidR="003C7B23" w:rsidRPr="003E2FB7">
        <w:rPr>
          <w:rFonts w:ascii="Times New Roman" w:hAnsi="Times New Roman" w:cs="Times New Roman"/>
          <w:sz w:val="24"/>
        </w:rPr>
        <w:t>online</w:t>
      </w:r>
      <w:r w:rsidR="004D36C8" w:rsidRPr="003E2FB7">
        <w:rPr>
          <w:rFonts w:ascii="Times New Roman" w:hAnsi="Times New Roman" w:cs="Times New Roman"/>
          <w:sz w:val="24"/>
        </w:rPr>
        <w:t xml:space="preserve"> interactive</w:t>
      </w:r>
      <w:r w:rsidR="003C7B23" w:rsidRPr="003E2FB7">
        <w:rPr>
          <w:rFonts w:ascii="Times New Roman" w:hAnsi="Times New Roman" w:cs="Times New Roman"/>
          <w:sz w:val="24"/>
        </w:rPr>
        <w:t xml:space="preserve"> discussion medium</w:t>
      </w:r>
      <w:r w:rsidR="004D36C8" w:rsidRPr="003E2FB7">
        <w:rPr>
          <w:rFonts w:ascii="Times New Roman" w:hAnsi="Times New Roman" w:cs="Times New Roman"/>
          <w:sz w:val="24"/>
        </w:rPr>
        <w:t>.</w:t>
      </w:r>
    </w:p>
    <w:p w14:paraId="7D3E026B" w14:textId="77777777" w:rsidR="00A916F9" w:rsidRPr="003E2FB7" w:rsidRDefault="00A916F9" w:rsidP="000C7BDE">
      <w:pPr>
        <w:pStyle w:val="NoSpacing"/>
        <w:jc w:val="both"/>
        <w:rPr>
          <w:rFonts w:ascii="Times New Roman" w:hAnsi="Times New Roman" w:cs="Times New Roman"/>
          <w:sz w:val="24"/>
        </w:rPr>
      </w:pPr>
    </w:p>
    <w:p w14:paraId="4507EAF7" w14:textId="3F9F1A92" w:rsidR="004D36C8" w:rsidRPr="003E2FB7" w:rsidRDefault="004D36C8" w:rsidP="000C7BDE">
      <w:r w:rsidRPr="003E2FB7">
        <w:t xml:space="preserve">Keywords: e-government, </w:t>
      </w:r>
      <w:r w:rsidR="007E43CF" w:rsidRPr="003E2FB7">
        <w:t xml:space="preserve">multi-channel portal, </w:t>
      </w:r>
      <w:r w:rsidRPr="003E2FB7">
        <w:t>Indonesia</w:t>
      </w:r>
    </w:p>
    <w:p w14:paraId="102A9E1B" w14:textId="3765C9E2" w:rsidR="00704873" w:rsidRPr="003E2FB7" w:rsidRDefault="004D36C8" w:rsidP="000C7BDE">
      <w:pPr>
        <w:pStyle w:val="Heading1"/>
        <w:rPr>
          <w:b/>
          <w:color w:val="auto"/>
        </w:rPr>
      </w:pPr>
      <w:r w:rsidRPr="003E2FB7">
        <w:rPr>
          <w:b/>
          <w:color w:val="auto"/>
        </w:rPr>
        <w:br w:type="page"/>
      </w:r>
      <w:r w:rsidR="006E5772" w:rsidRPr="003E2FB7">
        <w:rPr>
          <w:color w:val="auto"/>
        </w:rPr>
        <w:lastRenderedPageBreak/>
        <w:t>Context</w:t>
      </w:r>
    </w:p>
    <w:p w14:paraId="676C7972" w14:textId="56FEBAB1" w:rsidR="006C13DF" w:rsidRPr="003E2FB7" w:rsidRDefault="00A56EAE" w:rsidP="000C7BDE">
      <w:pPr>
        <w:rPr>
          <w:lang w:eastAsia="en-US"/>
        </w:rPr>
      </w:pPr>
      <w:r w:rsidRPr="003E2FB7">
        <w:t>Indonesia aspires to become</w:t>
      </w:r>
      <w:r w:rsidR="00111D11" w:rsidRPr="003E2FB7">
        <w:t xml:space="preserve"> a “just and democratic, and peaceful and united” country, according to the </w:t>
      </w:r>
      <w:r w:rsidR="006C13DF" w:rsidRPr="003E2FB7">
        <w:t>National Long-Term Development Plan (2005-2025)</w:t>
      </w:r>
      <w:r w:rsidR="00111D11" w:rsidRPr="003E2FB7">
        <w:t xml:space="preserve">. The National Medium-Term Development Plan of 2015-2019 aims to implement </w:t>
      </w:r>
      <w:r w:rsidRPr="003E2FB7">
        <w:t xml:space="preserve">a </w:t>
      </w:r>
      <w:r w:rsidR="006C13DF" w:rsidRPr="003E2FB7">
        <w:t>clean, effective, democratic</w:t>
      </w:r>
      <w:r w:rsidRPr="003E2FB7">
        <w:t>,</w:t>
      </w:r>
      <w:r w:rsidR="006C13DF" w:rsidRPr="003E2FB7">
        <w:t xml:space="preserve"> and reliable</w:t>
      </w:r>
      <w:r w:rsidR="00111D11" w:rsidRPr="003E2FB7">
        <w:t xml:space="preserve"> </w:t>
      </w:r>
      <w:r w:rsidR="006C13DF" w:rsidRPr="003E2FB7">
        <w:t>government</w:t>
      </w:r>
      <w:r w:rsidR="00111D11" w:rsidRPr="003E2FB7">
        <w:t xml:space="preserve">. </w:t>
      </w:r>
      <w:r w:rsidRPr="003E2FB7">
        <w:t>Information and communications technologies (</w:t>
      </w:r>
      <w:r w:rsidR="006C13DF" w:rsidRPr="003E2FB7">
        <w:t>ICTs</w:t>
      </w:r>
      <w:r w:rsidRPr="003E2FB7">
        <w:t>)</w:t>
      </w:r>
      <w:r w:rsidR="006C13DF" w:rsidRPr="003E2FB7">
        <w:t xml:space="preserve"> are recognized by the government as </w:t>
      </w:r>
      <w:r w:rsidR="00111D11" w:rsidRPr="003E2FB7">
        <w:t xml:space="preserve">an </w:t>
      </w:r>
      <w:r w:rsidR="006C13DF" w:rsidRPr="003E2FB7">
        <w:t>important means to attain th</w:t>
      </w:r>
      <w:r w:rsidR="00111D11" w:rsidRPr="003E2FB7">
        <w:t>is</w:t>
      </w:r>
      <w:r w:rsidR="006C13DF" w:rsidRPr="003E2FB7">
        <w:t xml:space="preserve"> goal</w:t>
      </w:r>
      <w:r w:rsidR="00111D11" w:rsidRPr="003E2FB7">
        <w:t>.</w:t>
      </w:r>
      <w:r w:rsidR="006C13DF" w:rsidRPr="003E2FB7">
        <w:t xml:space="preserve"> </w:t>
      </w:r>
      <w:r w:rsidR="00FD2157" w:rsidRPr="003E2FB7">
        <w:t xml:space="preserve">As such, </w:t>
      </w:r>
      <w:r w:rsidR="006C13DF" w:rsidRPr="003E2FB7">
        <w:t xml:space="preserve">Indonesia has </w:t>
      </w:r>
      <w:r w:rsidR="00111D11" w:rsidRPr="003E2FB7">
        <w:t>made significant efforts t</w:t>
      </w:r>
      <w:r w:rsidR="006C13DF" w:rsidRPr="003E2FB7">
        <w:t xml:space="preserve">o expand the network and </w:t>
      </w:r>
      <w:r w:rsidR="00111D11" w:rsidRPr="003E2FB7">
        <w:t>improve Internet use across the country.</w:t>
      </w:r>
    </w:p>
    <w:p w14:paraId="477C0A77" w14:textId="558741BF" w:rsidR="006C13DF" w:rsidRPr="003E2FB7" w:rsidRDefault="006C13DF" w:rsidP="000C7BDE">
      <w:r w:rsidRPr="003E2FB7">
        <w:t xml:space="preserve">The Village Law enacted in 2014 </w:t>
      </w:r>
      <w:r w:rsidR="00111D11" w:rsidRPr="003E2FB7">
        <w:t xml:space="preserve">is a significant </w:t>
      </w:r>
      <w:r w:rsidR="00FD2157" w:rsidRPr="003E2FB7">
        <w:t xml:space="preserve">piece of </w:t>
      </w:r>
      <w:r w:rsidRPr="003E2FB7">
        <w:t xml:space="preserve">legislation </w:t>
      </w:r>
      <w:r w:rsidR="00FD2157" w:rsidRPr="003E2FB7">
        <w:t xml:space="preserve">to come into force </w:t>
      </w:r>
      <w:r w:rsidRPr="003E2FB7">
        <w:t>since Indonesia commenced its decentralization process in 2001. The law requires the central government to allocate funding</w:t>
      </w:r>
      <w:r w:rsidR="00111D11" w:rsidRPr="003E2FB7">
        <w:t xml:space="preserve"> annually</w:t>
      </w:r>
      <w:r w:rsidRPr="003E2FB7">
        <w:t xml:space="preserve"> to Indonesia’s 74,093 villages</w:t>
      </w:r>
      <w:r w:rsidR="00111D11" w:rsidRPr="003E2FB7">
        <w:t xml:space="preserve"> to enable local self-government</w:t>
      </w:r>
      <w:r w:rsidRPr="003E2FB7">
        <w:t>.</w:t>
      </w:r>
      <w:r w:rsidR="00111D11" w:rsidRPr="003E2FB7">
        <w:t xml:space="preserve"> L</w:t>
      </w:r>
      <w:r w:rsidRPr="003E2FB7">
        <w:t>ocal governments ar</w:t>
      </w:r>
      <w:r w:rsidR="00111D11" w:rsidRPr="003E2FB7">
        <w:t xml:space="preserve">e in the process of adjusting </w:t>
      </w:r>
      <w:r w:rsidRPr="003E2FB7">
        <w:t>to this decentralized government approach</w:t>
      </w:r>
      <w:r w:rsidR="00111D11" w:rsidRPr="003E2FB7">
        <w:t xml:space="preserve">. For </w:t>
      </w:r>
      <w:r w:rsidRPr="003E2FB7">
        <w:t>communit</w:t>
      </w:r>
      <w:r w:rsidR="00111D11" w:rsidRPr="003E2FB7">
        <w:t>ies</w:t>
      </w:r>
      <w:r w:rsidRPr="003E2FB7">
        <w:t xml:space="preserve"> not used to participating in</w:t>
      </w:r>
      <w:r w:rsidR="00FD2157" w:rsidRPr="003E2FB7">
        <w:t xml:space="preserve"> </w:t>
      </w:r>
      <w:r w:rsidRPr="003E2FB7">
        <w:t>decision-making process</w:t>
      </w:r>
      <w:r w:rsidR="00111D11" w:rsidRPr="003E2FB7">
        <w:t>es</w:t>
      </w:r>
      <w:r w:rsidRPr="003E2FB7">
        <w:t xml:space="preserve">, communication among all the stakeholders </w:t>
      </w:r>
      <w:r w:rsidR="00111D11" w:rsidRPr="003E2FB7">
        <w:t xml:space="preserve">is crucial to an </w:t>
      </w:r>
      <w:r w:rsidRPr="003E2FB7">
        <w:t xml:space="preserve">inclusive, democratic government. </w:t>
      </w:r>
    </w:p>
    <w:p w14:paraId="149BF403" w14:textId="77777777" w:rsidR="006E5772" w:rsidRPr="003E2FB7" w:rsidRDefault="006E5772" w:rsidP="000C7BDE"/>
    <w:tbl>
      <w:tblPr>
        <w:tblStyle w:val="GridTable6Colorful2"/>
        <w:tblW w:w="9245" w:type="dxa"/>
        <w:tblInd w:w="-5" w:type="dxa"/>
        <w:tblLayout w:type="fixed"/>
        <w:tblCellMar>
          <w:top w:w="101" w:type="dxa"/>
          <w:left w:w="0" w:type="dxa"/>
          <w:bottom w:w="101" w:type="dxa"/>
          <w:right w:w="0" w:type="dxa"/>
        </w:tblCellMar>
        <w:tblLook w:val="04A0" w:firstRow="1" w:lastRow="0" w:firstColumn="1" w:lastColumn="0" w:noHBand="0" w:noVBand="1"/>
      </w:tblPr>
      <w:tblGrid>
        <w:gridCol w:w="2903"/>
        <w:gridCol w:w="1748"/>
        <w:gridCol w:w="2909"/>
        <w:gridCol w:w="1685"/>
      </w:tblGrid>
      <w:tr w:rsidR="003E2FB7" w:rsidRPr="003E2FB7" w14:paraId="4A5FBCD3" w14:textId="77777777" w:rsidTr="006E577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gridSpan w:val="4"/>
            <w:shd w:val="clear" w:color="auto" w:fill="auto"/>
            <w:vAlign w:val="center"/>
            <w:hideMark/>
          </w:tcPr>
          <w:p w14:paraId="4586405B" w14:textId="77777777" w:rsidR="006C13DF" w:rsidRPr="003E2FB7" w:rsidRDefault="006C13DF" w:rsidP="000C7BDE">
            <w:pPr>
              <w:spacing w:after="0"/>
              <w:jc w:val="center"/>
              <w:rPr>
                <w:color w:val="auto"/>
                <w:sz w:val="24"/>
                <w:szCs w:val="24"/>
              </w:rPr>
            </w:pPr>
            <w:r w:rsidRPr="003E2FB7">
              <w:rPr>
                <w:color w:val="auto"/>
                <w:sz w:val="24"/>
                <w:szCs w:val="24"/>
              </w:rPr>
              <w:t>Indonesia</w:t>
            </w:r>
          </w:p>
        </w:tc>
      </w:tr>
      <w:tr w:rsidR="003E2FB7" w:rsidRPr="003E2FB7" w14:paraId="29109AA1" w14:textId="77777777" w:rsidTr="008909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3" w:type="dxa"/>
            <w:shd w:val="clear" w:color="auto" w:fill="auto"/>
            <w:vAlign w:val="center"/>
            <w:hideMark/>
          </w:tcPr>
          <w:p w14:paraId="798C0B91" w14:textId="3B27569A" w:rsidR="008750DE" w:rsidRPr="003E2FB7" w:rsidRDefault="008750DE" w:rsidP="000C7BDE">
            <w:pPr>
              <w:pStyle w:val="NoSpacing"/>
              <w:jc w:val="center"/>
              <w:rPr>
                <w:rFonts w:ascii="Times New Roman" w:hAnsi="Times New Roman" w:cs="Times New Roman"/>
                <w:bCs w:val="0"/>
                <w:color w:val="auto"/>
                <w:sz w:val="24"/>
                <w:szCs w:val="24"/>
              </w:rPr>
            </w:pPr>
            <w:r w:rsidRPr="003E2FB7">
              <w:rPr>
                <w:rFonts w:ascii="Times New Roman" w:hAnsi="Times New Roman" w:cs="Times New Roman"/>
                <w:color w:val="auto"/>
                <w:sz w:val="24"/>
                <w:szCs w:val="24"/>
              </w:rPr>
              <w:t>Population</w:t>
            </w:r>
          </w:p>
          <w:p w14:paraId="55DBB55B" w14:textId="6F3226C3" w:rsidR="008750DE" w:rsidRPr="003E2FB7"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hAnsi="Times New Roman" w:cs="Times New Roman"/>
                <w:color w:val="auto"/>
                <w:sz w:val="24"/>
                <w:szCs w:val="24"/>
              </w:rPr>
              <w:t>(UN</w:t>
            </w:r>
            <w:r w:rsidR="001A03FF" w:rsidRPr="003E2FB7">
              <w:rPr>
                <w:rFonts w:ascii="Times New Roman" w:hAnsi="Times New Roman" w:cs="Times New Roman"/>
                <w:color w:val="auto"/>
                <w:sz w:val="24"/>
                <w:szCs w:val="24"/>
              </w:rPr>
              <w:t>,</w:t>
            </w:r>
            <w:r w:rsidRPr="003E2FB7">
              <w:rPr>
                <w:rFonts w:ascii="Times New Roman" w:hAnsi="Times New Roman" w:cs="Times New Roman"/>
                <w:color w:val="auto"/>
                <w:sz w:val="24"/>
                <w:szCs w:val="24"/>
              </w:rPr>
              <w:t xml:space="preserve"> 2015)</w:t>
            </w:r>
          </w:p>
        </w:tc>
        <w:tc>
          <w:tcPr>
            <w:tcW w:w="1748" w:type="dxa"/>
            <w:shd w:val="clear" w:color="auto" w:fill="auto"/>
            <w:vAlign w:val="center"/>
            <w:hideMark/>
          </w:tcPr>
          <w:p w14:paraId="0BE54BE5" w14:textId="5A94FDB8" w:rsidR="008750DE" w:rsidRPr="003E2FB7" w:rsidRDefault="008750DE" w:rsidP="000C7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4"/>
                <w:szCs w:val="24"/>
              </w:rPr>
            </w:pPr>
            <w:r w:rsidRPr="003E2FB7">
              <w:rPr>
                <w:color w:val="auto"/>
                <w:sz w:val="24"/>
                <w:szCs w:val="24"/>
              </w:rPr>
              <w:t>255,708,785</w:t>
            </w:r>
          </w:p>
        </w:tc>
        <w:tc>
          <w:tcPr>
            <w:tcW w:w="2909" w:type="dxa"/>
            <w:shd w:val="clear" w:color="auto" w:fill="auto"/>
            <w:vAlign w:val="center"/>
            <w:hideMark/>
          </w:tcPr>
          <w:p w14:paraId="372BAED9" w14:textId="0FBEBD73" w:rsidR="001A03FF" w:rsidRPr="003E2FB7" w:rsidRDefault="008750DE" w:rsidP="000C7BD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3E2FB7">
              <w:rPr>
                <w:rFonts w:ascii="Times New Roman" w:hAnsi="Times New Roman" w:cs="Times New Roman"/>
                <w:b/>
                <w:color w:val="auto"/>
                <w:sz w:val="24"/>
                <w:szCs w:val="24"/>
              </w:rPr>
              <w:t>Fixed broadband subscriptions (%)</w:t>
            </w:r>
          </w:p>
          <w:p w14:paraId="769D3919" w14:textId="0CBC8449" w:rsidR="008750DE" w:rsidRPr="003E2FB7" w:rsidRDefault="008750DE" w:rsidP="000C7BD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szCs w:val="24"/>
              </w:rPr>
            </w:pPr>
            <w:r w:rsidRPr="003E2FB7">
              <w:rPr>
                <w:rFonts w:ascii="Times New Roman" w:hAnsi="Times New Roman" w:cs="Times New Roman"/>
                <w:b/>
                <w:color w:val="auto"/>
                <w:sz w:val="24"/>
                <w:szCs w:val="24"/>
              </w:rPr>
              <w:t>(ITU, 2016)</w:t>
            </w:r>
          </w:p>
        </w:tc>
        <w:tc>
          <w:tcPr>
            <w:tcW w:w="1685" w:type="dxa"/>
            <w:shd w:val="clear" w:color="auto" w:fill="auto"/>
            <w:vAlign w:val="center"/>
            <w:hideMark/>
          </w:tcPr>
          <w:p w14:paraId="08A47B08" w14:textId="65724A28" w:rsidR="008750DE" w:rsidRPr="003E2FB7" w:rsidRDefault="008750DE" w:rsidP="000C7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4"/>
                <w:szCs w:val="24"/>
              </w:rPr>
            </w:pPr>
            <w:r w:rsidRPr="003E2FB7">
              <w:rPr>
                <w:color w:val="auto"/>
                <w:sz w:val="24"/>
                <w:szCs w:val="24"/>
              </w:rPr>
              <w:t>1.89</w:t>
            </w:r>
          </w:p>
        </w:tc>
      </w:tr>
      <w:tr w:rsidR="003E2FB7" w:rsidRPr="003E2FB7" w14:paraId="3442EE13" w14:textId="77777777" w:rsidTr="00890928">
        <w:trPr>
          <w:trHeight w:val="20"/>
        </w:trPr>
        <w:tc>
          <w:tcPr>
            <w:cnfStyle w:val="001000000000" w:firstRow="0" w:lastRow="0" w:firstColumn="1" w:lastColumn="0" w:oddVBand="0" w:evenVBand="0" w:oddHBand="0" w:evenHBand="0" w:firstRowFirstColumn="0" w:firstRowLastColumn="0" w:lastRowFirstColumn="0" w:lastRowLastColumn="0"/>
            <w:tcW w:w="2903" w:type="dxa"/>
            <w:shd w:val="clear" w:color="auto" w:fill="auto"/>
            <w:vAlign w:val="center"/>
            <w:hideMark/>
          </w:tcPr>
          <w:p w14:paraId="744E30C3" w14:textId="77777777" w:rsidR="00890928"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eastAsia="Times New Roman" w:hAnsi="Times New Roman" w:cs="Times New Roman"/>
                <w:color w:val="auto"/>
                <w:sz w:val="24"/>
                <w:szCs w:val="24"/>
              </w:rPr>
              <w:t>Population density</w:t>
            </w:r>
          </w:p>
          <w:p w14:paraId="7AA0DD56" w14:textId="19F68E01" w:rsidR="008750DE" w:rsidRPr="003E2FB7"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eastAsia="Times New Roman" w:hAnsi="Times New Roman" w:cs="Times New Roman"/>
                <w:color w:val="auto"/>
                <w:sz w:val="24"/>
                <w:szCs w:val="24"/>
              </w:rPr>
              <w:t>(people per sq.km)</w:t>
            </w:r>
          </w:p>
          <w:p w14:paraId="7D08D938" w14:textId="08581E10" w:rsidR="008750DE" w:rsidRPr="003E2FB7"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eastAsia="Times New Roman" w:hAnsi="Times New Roman" w:cs="Times New Roman"/>
                <w:color w:val="auto"/>
                <w:sz w:val="24"/>
                <w:szCs w:val="24"/>
              </w:rPr>
              <w:t>(UN, 2015)</w:t>
            </w:r>
          </w:p>
        </w:tc>
        <w:tc>
          <w:tcPr>
            <w:tcW w:w="1748" w:type="dxa"/>
            <w:shd w:val="clear" w:color="auto" w:fill="auto"/>
            <w:vAlign w:val="center"/>
            <w:hideMark/>
          </w:tcPr>
          <w:p w14:paraId="5782252A" w14:textId="2A21113F" w:rsidR="008750DE" w:rsidRPr="003E2FB7" w:rsidRDefault="008750DE" w:rsidP="000C7BDE">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rPr>
            </w:pPr>
            <w:r w:rsidRPr="003E2FB7">
              <w:rPr>
                <w:color w:val="auto"/>
                <w:sz w:val="24"/>
                <w:szCs w:val="24"/>
              </w:rPr>
              <w:t>134.26</w:t>
            </w:r>
          </w:p>
        </w:tc>
        <w:tc>
          <w:tcPr>
            <w:tcW w:w="2909" w:type="dxa"/>
            <w:shd w:val="clear" w:color="auto" w:fill="auto"/>
            <w:vAlign w:val="center"/>
            <w:hideMark/>
          </w:tcPr>
          <w:p w14:paraId="1A6B4FBE" w14:textId="77777777" w:rsidR="001A03FF" w:rsidRPr="003E2FB7" w:rsidRDefault="008750DE" w:rsidP="000C7BD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3E2FB7">
              <w:rPr>
                <w:rFonts w:ascii="Times New Roman" w:hAnsi="Times New Roman" w:cs="Times New Roman"/>
                <w:b/>
                <w:color w:val="auto"/>
                <w:sz w:val="24"/>
                <w:szCs w:val="24"/>
              </w:rPr>
              <w:t>Mobile cellular subscriptions (%)</w:t>
            </w:r>
          </w:p>
          <w:p w14:paraId="36D8A4C9" w14:textId="2376A824" w:rsidR="008750DE" w:rsidRPr="003E2FB7" w:rsidRDefault="008750DE" w:rsidP="000C7BD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szCs w:val="24"/>
              </w:rPr>
            </w:pPr>
            <w:r w:rsidRPr="003E2FB7">
              <w:rPr>
                <w:rFonts w:ascii="Times New Roman" w:hAnsi="Times New Roman" w:cs="Times New Roman"/>
                <w:b/>
                <w:color w:val="auto"/>
                <w:sz w:val="24"/>
                <w:szCs w:val="24"/>
              </w:rPr>
              <w:t>(ITU, 2016)</w:t>
            </w:r>
          </w:p>
        </w:tc>
        <w:tc>
          <w:tcPr>
            <w:tcW w:w="1685" w:type="dxa"/>
            <w:shd w:val="clear" w:color="auto" w:fill="auto"/>
            <w:vAlign w:val="center"/>
            <w:hideMark/>
          </w:tcPr>
          <w:p w14:paraId="30367568" w14:textId="089C24B5" w:rsidR="008750DE" w:rsidRPr="003E2FB7" w:rsidRDefault="008750DE" w:rsidP="000C7BDE">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rPr>
            </w:pPr>
            <w:r w:rsidRPr="003E2FB7">
              <w:rPr>
                <w:color w:val="auto"/>
                <w:sz w:val="24"/>
                <w:szCs w:val="24"/>
              </w:rPr>
              <w:t>149.13</w:t>
            </w:r>
          </w:p>
        </w:tc>
      </w:tr>
      <w:tr w:rsidR="003E2FB7" w:rsidRPr="003E2FB7" w14:paraId="35869976" w14:textId="77777777" w:rsidTr="008909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3" w:type="dxa"/>
            <w:shd w:val="clear" w:color="auto" w:fill="auto"/>
            <w:vAlign w:val="center"/>
            <w:hideMark/>
          </w:tcPr>
          <w:p w14:paraId="484AA5C0" w14:textId="77777777" w:rsidR="008750DE" w:rsidRPr="003E2FB7"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eastAsia="Times New Roman" w:hAnsi="Times New Roman" w:cs="Times New Roman"/>
                <w:color w:val="auto"/>
                <w:sz w:val="24"/>
                <w:szCs w:val="24"/>
              </w:rPr>
              <w:t>Median household income</w:t>
            </w:r>
          </w:p>
          <w:p w14:paraId="06B419D6" w14:textId="72C5930F" w:rsidR="008750DE" w:rsidRPr="003E2FB7"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eastAsia="Times New Roman" w:hAnsi="Times New Roman" w:cs="Times New Roman"/>
                <w:color w:val="auto"/>
                <w:sz w:val="24"/>
                <w:szCs w:val="24"/>
              </w:rPr>
              <w:t>(Gallup, 2006-2012)</w:t>
            </w:r>
          </w:p>
        </w:tc>
        <w:tc>
          <w:tcPr>
            <w:tcW w:w="1748" w:type="dxa"/>
            <w:shd w:val="clear" w:color="auto" w:fill="auto"/>
            <w:vAlign w:val="center"/>
            <w:hideMark/>
          </w:tcPr>
          <w:p w14:paraId="464FCC6E" w14:textId="1B956653" w:rsidR="008750DE" w:rsidRPr="003E2FB7" w:rsidRDefault="00B1743F" w:rsidP="000C7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4"/>
                <w:szCs w:val="24"/>
              </w:rPr>
            </w:pPr>
            <w:r w:rsidRPr="003E2FB7">
              <w:rPr>
                <w:color w:val="auto"/>
                <w:sz w:val="24"/>
                <w:szCs w:val="24"/>
              </w:rPr>
              <w:t>US</w:t>
            </w:r>
            <w:r w:rsidR="008750DE" w:rsidRPr="003E2FB7">
              <w:rPr>
                <w:color w:val="auto"/>
                <w:sz w:val="24"/>
                <w:szCs w:val="24"/>
              </w:rPr>
              <w:t>$</w:t>
            </w:r>
            <w:r w:rsidRPr="003E2FB7">
              <w:rPr>
                <w:color w:val="auto"/>
                <w:sz w:val="24"/>
                <w:szCs w:val="24"/>
              </w:rPr>
              <w:t xml:space="preserve"> </w:t>
            </w:r>
            <w:r w:rsidR="008750DE" w:rsidRPr="003E2FB7">
              <w:rPr>
                <w:color w:val="auto"/>
                <w:sz w:val="24"/>
                <w:szCs w:val="24"/>
              </w:rPr>
              <w:t>2</w:t>
            </w:r>
            <w:r w:rsidR="00890928">
              <w:rPr>
                <w:color w:val="auto"/>
                <w:sz w:val="24"/>
                <w:szCs w:val="24"/>
              </w:rPr>
              <w:t>,</w:t>
            </w:r>
            <w:r w:rsidR="008750DE" w:rsidRPr="003E2FB7">
              <w:rPr>
                <w:color w:val="auto"/>
                <w:sz w:val="24"/>
                <w:szCs w:val="24"/>
              </w:rPr>
              <w:t>199</w:t>
            </w:r>
          </w:p>
        </w:tc>
        <w:tc>
          <w:tcPr>
            <w:tcW w:w="2909" w:type="dxa"/>
            <w:shd w:val="clear" w:color="auto" w:fill="auto"/>
            <w:vAlign w:val="center"/>
            <w:hideMark/>
          </w:tcPr>
          <w:p w14:paraId="0213966E" w14:textId="1A1D2BDF" w:rsidR="001A03FF" w:rsidRPr="003E2FB7" w:rsidRDefault="008750DE" w:rsidP="000C7BD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3E2FB7">
              <w:rPr>
                <w:rFonts w:ascii="Times New Roman" w:hAnsi="Times New Roman" w:cs="Times New Roman"/>
                <w:b/>
                <w:color w:val="auto"/>
                <w:sz w:val="24"/>
                <w:szCs w:val="24"/>
              </w:rPr>
              <w:t>Individuals using the Internet (%)</w:t>
            </w:r>
          </w:p>
          <w:p w14:paraId="7E627FCF" w14:textId="21DEF96D" w:rsidR="008750DE" w:rsidRPr="003E2FB7" w:rsidRDefault="008750DE" w:rsidP="000C7BD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szCs w:val="24"/>
              </w:rPr>
            </w:pPr>
            <w:r w:rsidRPr="003E2FB7">
              <w:rPr>
                <w:rFonts w:ascii="Times New Roman" w:hAnsi="Times New Roman" w:cs="Times New Roman"/>
                <w:b/>
                <w:color w:val="auto"/>
                <w:sz w:val="24"/>
                <w:szCs w:val="24"/>
              </w:rPr>
              <w:t>(ITU, 2016)</w:t>
            </w:r>
          </w:p>
        </w:tc>
        <w:tc>
          <w:tcPr>
            <w:tcW w:w="1685" w:type="dxa"/>
            <w:shd w:val="clear" w:color="auto" w:fill="auto"/>
            <w:vAlign w:val="center"/>
            <w:hideMark/>
          </w:tcPr>
          <w:p w14:paraId="23CE1EF6" w14:textId="3D597375" w:rsidR="008750DE" w:rsidRPr="003E2FB7" w:rsidRDefault="008750DE" w:rsidP="000C7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4"/>
                <w:szCs w:val="24"/>
              </w:rPr>
            </w:pPr>
            <w:r w:rsidRPr="003E2FB7">
              <w:rPr>
                <w:color w:val="auto"/>
                <w:sz w:val="24"/>
                <w:szCs w:val="24"/>
              </w:rPr>
              <w:t>25.4</w:t>
            </w:r>
          </w:p>
        </w:tc>
      </w:tr>
      <w:tr w:rsidR="003E2FB7" w:rsidRPr="003E2FB7" w14:paraId="2431CA92" w14:textId="77777777" w:rsidTr="00890928">
        <w:trPr>
          <w:trHeight w:val="20"/>
        </w:trPr>
        <w:tc>
          <w:tcPr>
            <w:cnfStyle w:val="001000000000" w:firstRow="0" w:lastRow="0" w:firstColumn="1" w:lastColumn="0" w:oddVBand="0" w:evenVBand="0" w:oddHBand="0" w:evenHBand="0" w:firstRowFirstColumn="0" w:firstRowLastColumn="0" w:lastRowFirstColumn="0" w:lastRowLastColumn="0"/>
            <w:tcW w:w="2903" w:type="dxa"/>
            <w:shd w:val="clear" w:color="auto" w:fill="auto"/>
            <w:vAlign w:val="center"/>
          </w:tcPr>
          <w:p w14:paraId="3AA8314D" w14:textId="6C28C5BA" w:rsidR="001A03FF" w:rsidRPr="003E2FB7" w:rsidRDefault="008750DE" w:rsidP="000C7BDE">
            <w:pPr>
              <w:pStyle w:val="NoSpacing"/>
              <w:jc w:val="center"/>
              <w:rPr>
                <w:rFonts w:ascii="Times New Roman" w:hAnsi="Times New Roman" w:cs="Times New Roman"/>
                <w:b w:val="0"/>
                <w:bCs w:val="0"/>
                <w:color w:val="auto"/>
                <w:sz w:val="24"/>
                <w:szCs w:val="24"/>
              </w:rPr>
            </w:pPr>
            <w:r w:rsidRPr="003E2FB7">
              <w:rPr>
                <w:rFonts w:ascii="Times New Roman" w:hAnsi="Times New Roman" w:cs="Times New Roman"/>
                <w:color w:val="auto"/>
                <w:sz w:val="24"/>
                <w:szCs w:val="24"/>
              </w:rPr>
              <w:t>Education</w:t>
            </w:r>
          </w:p>
          <w:p w14:paraId="6F926804" w14:textId="733667DA" w:rsidR="001A03FF" w:rsidRPr="003E2FB7" w:rsidRDefault="008750DE" w:rsidP="000C7BDE">
            <w:pPr>
              <w:pStyle w:val="NoSpacing"/>
              <w:jc w:val="center"/>
              <w:rPr>
                <w:rFonts w:ascii="Times New Roman" w:hAnsi="Times New Roman" w:cs="Times New Roman"/>
                <w:b w:val="0"/>
                <w:bCs w:val="0"/>
                <w:color w:val="auto"/>
                <w:sz w:val="24"/>
                <w:szCs w:val="24"/>
              </w:rPr>
            </w:pPr>
            <w:r w:rsidRPr="003E2FB7">
              <w:rPr>
                <w:rFonts w:ascii="Times New Roman" w:hAnsi="Times New Roman" w:cs="Times New Roman"/>
                <w:color w:val="auto"/>
                <w:sz w:val="24"/>
                <w:szCs w:val="24"/>
              </w:rPr>
              <w:t>(Mean years of schooling)</w:t>
            </w:r>
          </w:p>
          <w:p w14:paraId="08606DF5" w14:textId="187C31E2" w:rsidR="008750DE" w:rsidRPr="003E2FB7" w:rsidRDefault="008750DE" w:rsidP="000C7BDE">
            <w:pPr>
              <w:pStyle w:val="NoSpacing"/>
              <w:jc w:val="center"/>
              <w:rPr>
                <w:rFonts w:ascii="Times New Roman" w:eastAsia="Times New Roman" w:hAnsi="Times New Roman" w:cs="Times New Roman"/>
                <w:color w:val="auto"/>
                <w:sz w:val="24"/>
                <w:szCs w:val="24"/>
              </w:rPr>
            </w:pPr>
            <w:r w:rsidRPr="003E2FB7">
              <w:rPr>
                <w:rFonts w:ascii="Times New Roman" w:hAnsi="Times New Roman" w:cs="Times New Roman"/>
                <w:color w:val="auto"/>
                <w:sz w:val="24"/>
                <w:szCs w:val="24"/>
              </w:rPr>
              <w:t>(UNDP, 2013)</w:t>
            </w:r>
          </w:p>
        </w:tc>
        <w:tc>
          <w:tcPr>
            <w:tcW w:w="1748" w:type="dxa"/>
            <w:shd w:val="clear" w:color="auto" w:fill="auto"/>
            <w:vAlign w:val="center"/>
            <w:hideMark/>
          </w:tcPr>
          <w:p w14:paraId="688E4CC5" w14:textId="77777777" w:rsidR="008750DE" w:rsidRPr="003E2FB7" w:rsidRDefault="008750DE" w:rsidP="000C7BDE">
            <w:pPr>
              <w:spacing w:after="0"/>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E2FB7">
              <w:rPr>
                <w:color w:val="auto"/>
                <w:sz w:val="24"/>
                <w:szCs w:val="24"/>
              </w:rPr>
              <w:t>Male: 8.1</w:t>
            </w:r>
          </w:p>
          <w:p w14:paraId="76670B7E" w14:textId="3624061F" w:rsidR="008750DE" w:rsidRPr="003E2FB7" w:rsidRDefault="008750DE" w:rsidP="000C7BDE">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rPr>
            </w:pPr>
            <w:r w:rsidRPr="003E2FB7">
              <w:rPr>
                <w:color w:val="auto"/>
                <w:sz w:val="24"/>
                <w:szCs w:val="24"/>
              </w:rPr>
              <w:t>Female: 6.9</w:t>
            </w:r>
          </w:p>
        </w:tc>
        <w:tc>
          <w:tcPr>
            <w:tcW w:w="2909" w:type="dxa"/>
            <w:shd w:val="clear" w:color="auto" w:fill="auto"/>
            <w:vAlign w:val="center"/>
            <w:hideMark/>
          </w:tcPr>
          <w:p w14:paraId="6A30E984" w14:textId="1C9DDFE6" w:rsidR="008750DE" w:rsidRPr="003E2FB7" w:rsidRDefault="008750DE" w:rsidP="000C7BD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szCs w:val="24"/>
              </w:rPr>
            </w:pPr>
            <w:r w:rsidRPr="003E2FB7">
              <w:rPr>
                <w:rFonts w:ascii="Times New Roman" w:hAnsi="Times New Roman" w:cs="Times New Roman"/>
                <w:b/>
                <w:color w:val="auto"/>
                <w:sz w:val="24"/>
                <w:szCs w:val="24"/>
              </w:rPr>
              <w:t>Individuals using the Internet by Gender (%) (ITU, 2016)</w:t>
            </w:r>
          </w:p>
        </w:tc>
        <w:tc>
          <w:tcPr>
            <w:tcW w:w="1685" w:type="dxa"/>
            <w:shd w:val="clear" w:color="auto" w:fill="auto"/>
            <w:vAlign w:val="center"/>
            <w:hideMark/>
          </w:tcPr>
          <w:p w14:paraId="717B59D2" w14:textId="62B3B45E" w:rsidR="008750DE" w:rsidRPr="003E2FB7" w:rsidRDefault="008750DE" w:rsidP="000C7BDE">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rPr>
            </w:pPr>
            <w:r w:rsidRPr="003E2FB7">
              <w:rPr>
                <w:color w:val="auto"/>
                <w:sz w:val="24"/>
                <w:szCs w:val="24"/>
              </w:rPr>
              <w:t>N/A</w:t>
            </w:r>
          </w:p>
        </w:tc>
      </w:tr>
    </w:tbl>
    <w:p w14:paraId="71ED5EA5" w14:textId="14A0E3FB" w:rsidR="00286CB9" w:rsidRPr="003E2FB7" w:rsidRDefault="00DD7C2B" w:rsidP="000C7BDE">
      <w:pPr>
        <w:pStyle w:val="Heading1"/>
        <w:rPr>
          <w:b/>
          <w:color w:val="auto"/>
        </w:rPr>
      </w:pPr>
      <w:r w:rsidRPr="003E2FB7">
        <w:rPr>
          <w:color w:val="auto"/>
        </w:rPr>
        <w:t>Project D</w:t>
      </w:r>
      <w:r w:rsidR="00EE1E6E" w:rsidRPr="003E2FB7">
        <w:rPr>
          <w:color w:val="auto"/>
        </w:rPr>
        <w:t>escription</w:t>
      </w:r>
    </w:p>
    <w:p w14:paraId="14E663A5" w14:textId="1AE4144E" w:rsidR="00E12A00" w:rsidRPr="003E2FB7" w:rsidRDefault="009F24AE" w:rsidP="000C7BDE">
      <w:proofErr w:type="spellStart"/>
      <w:r w:rsidRPr="003E2FB7">
        <w:t>Kedesa</w:t>
      </w:r>
      <w:proofErr w:type="spellEnd"/>
      <w:r w:rsidRPr="003E2FB7">
        <w:t xml:space="preserve"> </w:t>
      </w:r>
      <w:r w:rsidR="001742EC" w:rsidRPr="003E2FB7">
        <w:t xml:space="preserve">is an online platform to promote stakeholder participation and improve communication regarding </w:t>
      </w:r>
      <w:r w:rsidRPr="003E2FB7">
        <w:t>the implementation of Village Law</w:t>
      </w:r>
      <w:r w:rsidR="001742EC" w:rsidRPr="003E2FB7">
        <w:t xml:space="preserve"> between the </w:t>
      </w:r>
      <w:r w:rsidR="00E12A00" w:rsidRPr="003E2FB7">
        <w:t>Village Ministry and Ministry of Home Affairs</w:t>
      </w:r>
      <w:r w:rsidR="001742EC" w:rsidRPr="003E2FB7">
        <w:t xml:space="preserve">, </w:t>
      </w:r>
      <w:r w:rsidR="00E12A00" w:rsidRPr="003E2FB7">
        <w:t>the district government, village head</w:t>
      </w:r>
      <w:r w:rsidR="00FA0699" w:rsidRPr="003E2FB7">
        <w:t>s</w:t>
      </w:r>
      <w:r w:rsidR="00E12A00" w:rsidRPr="003E2FB7">
        <w:t>,</w:t>
      </w:r>
      <w:r w:rsidR="001742EC" w:rsidRPr="003E2FB7">
        <w:t xml:space="preserve"> implementers,</w:t>
      </w:r>
      <w:r w:rsidR="00E12A00" w:rsidRPr="003E2FB7">
        <w:t xml:space="preserve"> </w:t>
      </w:r>
      <w:r w:rsidR="00FA0699" w:rsidRPr="003E2FB7">
        <w:t xml:space="preserve">the </w:t>
      </w:r>
      <w:r w:rsidR="00E12A00" w:rsidRPr="003E2FB7">
        <w:t xml:space="preserve">representative council of </w:t>
      </w:r>
      <w:r w:rsidR="00FA0699" w:rsidRPr="003E2FB7">
        <w:t>a</w:t>
      </w:r>
      <w:r w:rsidR="00E12A00" w:rsidRPr="003E2FB7">
        <w:t xml:space="preserve"> village, village facilitators, and residents.</w:t>
      </w:r>
      <w:r w:rsidR="00D01AF7" w:rsidRPr="003E2FB7">
        <w:t xml:space="preserve"> </w:t>
      </w:r>
      <w:proofErr w:type="spellStart"/>
      <w:r w:rsidR="00D01AF7" w:rsidRPr="003E2FB7">
        <w:t>Kedesa</w:t>
      </w:r>
      <w:proofErr w:type="spellEnd"/>
      <w:r w:rsidR="00D01AF7" w:rsidRPr="003E2FB7">
        <w:t xml:space="preserve"> is a project of PATTIRO, a research and advocacy organization established in 1999 to </w:t>
      </w:r>
      <w:r w:rsidR="00FA0699" w:rsidRPr="003E2FB7">
        <w:t>help promote</w:t>
      </w:r>
      <w:r w:rsidR="00D01AF7" w:rsidRPr="003E2FB7">
        <w:t xml:space="preserve"> transparency and equitable governance in Indonesia. PATTIRO assists the community in conducting advocacy with the central and local government to encourage policy reform as well as public service and public finance management improvement.</w:t>
      </w:r>
    </w:p>
    <w:p w14:paraId="5B4D8246" w14:textId="1F8DC391" w:rsidR="003C7B23" w:rsidRPr="003E2FB7" w:rsidRDefault="009F24AE" w:rsidP="000C7BDE">
      <w:r w:rsidRPr="003E2FB7">
        <w:t xml:space="preserve">The </w:t>
      </w:r>
      <w:proofErr w:type="spellStart"/>
      <w:r w:rsidRPr="003E2FB7">
        <w:t>Kedesa</w:t>
      </w:r>
      <w:proofErr w:type="spellEnd"/>
      <w:r w:rsidRPr="003E2FB7">
        <w:t xml:space="preserve"> platform</w:t>
      </w:r>
      <w:r w:rsidR="00D01AF7" w:rsidRPr="003E2FB7">
        <w:t xml:space="preserve"> integrates four </w:t>
      </w:r>
      <w:r w:rsidR="001742EC" w:rsidRPr="003E2FB7">
        <w:t>platforms</w:t>
      </w:r>
      <w:r w:rsidR="00EB7FDB" w:rsidRPr="003E2FB7">
        <w:t>.</w:t>
      </w:r>
      <w:r w:rsidRPr="003E2FB7">
        <w:t xml:space="preserve"> </w:t>
      </w:r>
      <w:r w:rsidR="001742EC" w:rsidRPr="003E2FB7">
        <w:t>A</w:t>
      </w:r>
      <w:r w:rsidRPr="003E2FB7">
        <w:t xml:space="preserve"> wiki</w:t>
      </w:r>
      <w:r w:rsidR="001742EC" w:rsidRPr="003E2FB7">
        <w:t xml:space="preserve"> provides users with information on the law and enables real-time collaborative contributions to maximize its readability</w:t>
      </w:r>
      <w:r w:rsidR="0012463E" w:rsidRPr="003E2FB7">
        <w:t xml:space="preserve">. </w:t>
      </w:r>
      <w:r w:rsidR="001742EC" w:rsidRPr="003E2FB7">
        <w:t xml:space="preserve">An </w:t>
      </w:r>
      <w:r w:rsidRPr="003E2FB7">
        <w:t xml:space="preserve">online discussion platform </w:t>
      </w:r>
      <w:r w:rsidR="001742EC" w:rsidRPr="003E2FB7">
        <w:t xml:space="preserve">allows users to </w:t>
      </w:r>
      <w:r w:rsidRPr="003E2FB7">
        <w:t>discuss and</w:t>
      </w:r>
      <w:r w:rsidR="003C7B23" w:rsidRPr="003E2FB7">
        <w:t xml:space="preserve"> exchange</w:t>
      </w:r>
      <w:r w:rsidRPr="003E2FB7">
        <w:t xml:space="preserve"> </w:t>
      </w:r>
      <w:r w:rsidR="003C7B23" w:rsidRPr="003E2FB7">
        <w:t>information</w:t>
      </w:r>
      <w:r w:rsidRPr="003E2FB7">
        <w:t xml:space="preserve"> </w:t>
      </w:r>
      <w:r w:rsidR="003C7B23" w:rsidRPr="003E2FB7">
        <w:t>on village</w:t>
      </w:r>
      <w:r w:rsidRPr="003E2FB7">
        <w:t xml:space="preserve"> </w:t>
      </w:r>
      <w:r w:rsidR="003C7B23" w:rsidRPr="003E2FB7">
        <w:t>development</w:t>
      </w:r>
      <w:r w:rsidR="00E12A00" w:rsidRPr="003E2FB7">
        <w:t xml:space="preserve"> and </w:t>
      </w:r>
      <w:r w:rsidR="003C7B23" w:rsidRPr="003E2FB7">
        <w:t>related</w:t>
      </w:r>
      <w:r w:rsidRPr="003E2FB7">
        <w:t xml:space="preserve"> </w:t>
      </w:r>
      <w:r w:rsidR="003C7B23" w:rsidRPr="003E2FB7">
        <w:t xml:space="preserve">issues. </w:t>
      </w:r>
      <w:r w:rsidR="001742EC" w:rsidRPr="003E2FB7">
        <w:t xml:space="preserve">A blog encourages </w:t>
      </w:r>
      <w:r w:rsidR="00E12A00" w:rsidRPr="003E2FB7">
        <w:t>users</w:t>
      </w:r>
      <w:r w:rsidRPr="003E2FB7">
        <w:t xml:space="preserve"> </w:t>
      </w:r>
      <w:r w:rsidR="003C7B23" w:rsidRPr="003E2FB7">
        <w:t>to</w:t>
      </w:r>
      <w:r w:rsidRPr="003E2FB7">
        <w:t xml:space="preserve"> </w:t>
      </w:r>
      <w:r w:rsidR="003C7B23" w:rsidRPr="003E2FB7">
        <w:t>write</w:t>
      </w:r>
      <w:r w:rsidRPr="003E2FB7">
        <w:t xml:space="preserve"> </w:t>
      </w:r>
      <w:r w:rsidR="003C7B23" w:rsidRPr="003E2FB7">
        <w:t>a</w:t>
      </w:r>
      <w:r w:rsidRPr="003E2FB7">
        <w:t xml:space="preserve"> </w:t>
      </w:r>
      <w:r w:rsidR="003C7B23" w:rsidRPr="003E2FB7">
        <w:t>personal</w:t>
      </w:r>
      <w:r w:rsidRPr="003E2FB7">
        <w:t xml:space="preserve"> </w:t>
      </w:r>
      <w:r w:rsidR="003C7B23" w:rsidRPr="003E2FB7">
        <w:t>journal</w:t>
      </w:r>
      <w:r w:rsidRPr="003E2FB7">
        <w:t xml:space="preserve"> </w:t>
      </w:r>
      <w:r w:rsidR="001742EC" w:rsidRPr="003E2FB7">
        <w:t>on their view</w:t>
      </w:r>
      <w:r w:rsidR="003C7B23" w:rsidRPr="003E2FB7">
        <w:t>s</w:t>
      </w:r>
      <w:r w:rsidRPr="003E2FB7">
        <w:t xml:space="preserve"> </w:t>
      </w:r>
      <w:r w:rsidR="003C7B23" w:rsidRPr="003E2FB7">
        <w:t>on</w:t>
      </w:r>
      <w:r w:rsidRPr="003E2FB7">
        <w:t xml:space="preserve"> </w:t>
      </w:r>
      <w:r w:rsidR="003C7B23" w:rsidRPr="003E2FB7">
        <w:t>topics</w:t>
      </w:r>
      <w:r w:rsidRPr="003E2FB7">
        <w:t xml:space="preserve"> </w:t>
      </w:r>
      <w:r w:rsidR="003C7B23" w:rsidRPr="003E2FB7">
        <w:lastRenderedPageBreak/>
        <w:t>related</w:t>
      </w:r>
      <w:r w:rsidRPr="003E2FB7">
        <w:t xml:space="preserve"> </w:t>
      </w:r>
      <w:r w:rsidR="003C7B23" w:rsidRPr="003E2FB7">
        <w:t>to</w:t>
      </w:r>
      <w:r w:rsidRPr="003E2FB7">
        <w:t xml:space="preserve"> </w:t>
      </w:r>
      <w:r w:rsidR="001742EC" w:rsidRPr="003E2FB7">
        <w:t xml:space="preserve">the </w:t>
      </w:r>
      <w:r w:rsidR="003C7B23" w:rsidRPr="003E2FB7">
        <w:t>Village</w:t>
      </w:r>
      <w:r w:rsidRPr="003E2FB7">
        <w:t xml:space="preserve"> </w:t>
      </w:r>
      <w:r w:rsidR="003C7B23" w:rsidRPr="003E2FB7">
        <w:t>Law</w:t>
      </w:r>
      <w:r w:rsidRPr="003E2FB7">
        <w:t xml:space="preserve"> </w:t>
      </w:r>
      <w:r w:rsidR="003C7B23" w:rsidRPr="003E2FB7">
        <w:t>and</w:t>
      </w:r>
      <w:r w:rsidRPr="003E2FB7">
        <w:t xml:space="preserve"> </w:t>
      </w:r>
      <w:r w:rsidR="003C7B23" w:rsidRPr="003E2FB7">
        <w:t>village</w:t>
      </w:r>
      <w:r w:rsidRPr="003E2FB7">
        <w:t xml:space="preserve"> </w:t>
      </w:r>
      <w:r w:rsidR="003C7B23" w:rsidRPr="003E2FB7">
        <w:t>development</w:t>
      </w:r>
      <w:r w:rsidR="00E12A00" w:rsidRPr="003E2FB7">
        <w:t xml:space="preserve">. </w:t>
      </w:r>
      <w:r w:rsidR="003C7B23" w:rsidRPr="003E2FB7">
        <w:t>The</w:t>
      </w:r>
      <w:r w:rsidRPr="003E2FB7">
        <w:t xml:space="preserve"> </w:t>
      </w:r>
      <w:r w:rsidR="003C7B23" w:rsidRPr="003E2FB7">
        <w:t>website</w:t>
      </w:r>
      <w:r w:rsidRPr="003E2FB7">
        <w:t xml:space="preserve"> </w:t>
      </w:r>
      <w:hyperlink r:id="rId9" w:history="1">
        <w:r w:rsidR="00EB7FDB" w:rsidRPr="003E2FB7">
          <w:rPr>
            <w:rStyle w:val="Hyperlink"/>
            <w:color w:val="auto"/>
            <w:u w:val="none"/>
          </w:rPr>
          <w:t>www.kedesa.id</w:t>
        </w:r>
      </w:hyperlink>
      <w:r w:rsidR="003C7B23" w:rsidRPr="003E2FB7">
        <w:t xml:space="preserve"> also</w:t>
      </w:r>
      <w:r w:rsidRPr="003E2FB7">
        <w:t xml:space="preserve"> </w:t>
      </w:r>
      <w:r w:rsidR="003C7B23" w:rsidRPr="003E2FB7">
        <w:t>functions</w:t>
      </w:r>
      <w:r w:rsidRPr="003E2FB7">
        <w:t xml:space="preserve"> </w:t>
      </w:r>
      <w:r w:rsidR="003C7B23" w:rsidRPr="003E2FB7">
        <w:t>as</w:t>
      </w:r>
      <w:r w:rsidRPr="003E2FB7">
        <w:t xml:space="preserve"> </w:t>
      </w:r>
      <w:r w:rsidR="00E12A00" w:rsidRPr="003E2FB7">
        <w:t xml:space="preserve">a </w:t>
      </w:r>
      <w:r w:rsidR="003C7B23" w:rsidRPr="003E2FB7">
        <w:t>data</w:t>
      </w:r>
      <w:r w:rsidRPr="003E2FB7">
        <w:t xml:space="preserve"> </w:t>
      </w:r>
      <w:r w:rsidR="003C7B23" w:rsidRPr="003E2FB7">
        <w:t>repositor</w:t>
      </w:r>
      <w:r w:rsidR="001742EC" w:rsidRPr="003E2FB7">
        <w:t xml:space="preserve">y for legislative and regulatory documents. This </w:t>
      </w:r>
      <w:r w:rsidR="003C7B23" w:rsidRPr="003E2FB7">
        <w:t>enables</w:t>
      </w:r>
      <w:r w:rsidRPr="003E2FB7">
        <w:t xml:space="preserve"> </w:t>
      </w:r>
      <w:r w:rsidR="00EB7FDB" w:rsidRPr="003E2FB7">
        <w:t>village stakeholders</w:t>
      </w:r>
      <w:r w:rsidRPr="003E2FB7">
        <w:t xml:space="preserve"> </w:t>
      </w:r>
      <w:r w:rsidR="003C7B23" w:rsidRPr="003E2FB7">
        <w:t>to</w:t>
      </w:r>
      <w:r w:rsidRPr="003E2FB7">
        <w:t xml:space="preserve"> </w:t>
      </w:r>
      <w:r w:rsidR="003C7B23" w:rsidRPr="003E2FB7">
        <w:t>access,</w:t>
      </w:r>
      <w:r w:rsidRPr="003E2FB7">
        <w:t xml:space="preserve"> </w:t>
      </w:r>
      <w:r w:rsidR="003C7B23" w:rsidRPr="003E2FB7">
        <w:t>cite,</w:t>
      </w:r>
      <w:r w:rsidRPr="003E2FB7">
        <w:t xml:space="preserve"> </w:t>
      </w:r>
      <w:r w:rsidR="003C7B23" w:rsidRPr="003E2FB7">
        <w:t>download,</w:t>
      </w:r>
      <w:r w:rsidRPr="003E2FB7">
        <w:t xml:space="preserve"> </w:t>
      </w:r>
      <w:r w:rsidR="003C7B23" w:rsidRPr="003E2FB7">
        <w:t>and</w:t>
      </w:r>
      <w:r w:rsidRPr="003E2FB7">
        <w:t xml:space="preserve"> </w:t>
      </w:r>
      <w:r w:rsidR="003C7B23" w:rsidRPr="003E2FB7">
        <w:t>share</w:t>
      </w:r>
      <w:r w:rsidR="001742EC" w:rsidRPr="003E2FB7">
        <w:t xml:space="preserve"> data</w:t>
      </w:r>
      <w:r w:rsidR="003C7B23" w:rsidRPr="003E2FB7">
        <w:t>.</w:t>
      </w:r>
      <w:r w:rsidRPr="003E2FB7">
        <w:t xml:space="preserve"> </w:t>
      </w:r>
    </w:p>
    <w:p w14:paraId="24EE8A41" w14:textId="044C7FDF" w:rsidR="00111D11" w:rsidRPr="003E2FB7" w:rsidRDefault="00E12A00" w:rsidP="000C7BDE">
      <w:r w:rsidRPr="003E2FB7">
        <w:t>The project was developed to combat</w:t>
      </w:r>
      <w:r w:rsidR="00033901" w:rsidRPr="003E2FB7">
        <w:t xml:space="preserve"> </w:t>
      </w:r>
      <w:r w:rsidRPr="003E2FB7">
        <w:t>corruption,</w:t>
      </w:r>
      <w:r w:rsidR="001742EC" w:rsidRPr="003E2FB7">
        <w:t xml:space="preserve"> provide </w:t>
      </w:r>
      <w:r w:rsidR="00EB7FDB" w:rsidRPr="003E2FB7">
        <w:t>greater</w:t>
      </w:r>
      <w:r w:rsidR="001742EC" w:rsidRPr="003E2FB7">
        <w:t xml:space="preserve"> autonomy, and create a discussion platform for multiple stakeholders. </w:t>
      </w:r>
      <w:r w:rsidRPr="003E2FB7">
        <w:t>Since I</w:t>
      </w:r>
      <w:r w:rsidR="00CB2ABD" w:rsidRPr="003E2FB7">
        <w:t>nternet availability in villages</w:t>
      </w:r>
      <w:r w:rsidRPr="003E2FB7">
        <w:t xml:space="preserve"> is low, the project is c</w:t>
      </w:r>
      <w:r w:rsidR="006A496B" w:rsidRPr="003E2FB7">
        <w:t xml:space="preserve">omplemented by </w:t>
      </w:r>
      <w:r w:rsidRPr="003E2FB7">
        <w:t xml:space="preserve">an </w:t>
      </w:r>
      <w:r w:rsidR="006A496B" w:rsidRPr="003E2FB7">
        <w:t>offline platform</w:t>
      </w:r>
      <w:r w:rsidRPr="003E2FB7">
        <w:t xml:space="preserve"> for discussion among the stakeholders to raise awareness and overcome infrastructure challenges. </w:t>
      </w:r>
      <w:proofErr w:type="spellStart"/>
      <w:r w:rsidRPr="003E2FB7">
        <w:t>Kedesa</w:t>
      </w:r>
      <w:proofErr w:type="spellEnd"/>
      <w:r w:rsidRPr="003E2FB7">
        <w:t xml:space="preserve"> </w:t>
      </w:r>
      <w:r w:rsidR="009C1D84" w:rsidRPr="003E2FB7">
        <w:t xml:space="preserve">also </w:t>
      </w:r>
      <w:r w:rsidRPr="003E2FB7">
        <w:t xml:space="preserve">facilitates a WhatsApp group of 160 participants and uses </w:t>
      </w:r>
      <w:r w:rsidR="009C1D84" w:rsidRPr="003E2FB7">
        <w:t xml:space="preserve">social media platforms for promotion. </w:t>
      </w:r>
    </w:p>
    <w:p w14:paraId="3DECCE76" w14:textId="77777777" w:rsidR="006E5772" w:rsidRPr="003E2FB7" w:rsidRDefault="006E5772" w:rsidP="000C7BDE"/>
    <w:tbl>
      <w:tblPr>
        <w:tblStyle w:val="GridTable6Colorful2"/>
        <w:tblW w:w="0" w:type="auto"/>
        <w:jc w:val="center"/>
        <w:tblCellMar>
          <w:top w:w="101" w:type="dxa"/>
          <w:left w:w="0" w:type="dxa"/>
          <w:bottom w:w="101" w:type="dxa"/>
          <w:right w:w="0" w:type="dxa"/>
        </w:tblCellMar>
        <w:tblLook w:val="04A0" w:firstRow="1" w:lastRow="0" w:firstColumn="1" w:lastColumn="0" w:noHBand="0" w:noVBand="1"/>
      </w:tblPr>
      <w:tblGrid>
        <w:gridCol w:w="2256"/>
        <w:gridCol w:w="2248"/>
        <w:gridCol w:w="2102"/>
        <w:gridCol w:w="2404"/>
      </w:tblGrid>
      <w:tr w:rsidR="003E2FB7" w:rsidRPr="003E2FB7" w14:paraId="46BDEB19" w14:textId="77777777" w:rsidTr="006E577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5B04159C" w14:textId="37DB9324" w:rsidR="002D5221" w:rsidRPr="003E2FB7" w:rsidRDefault="002D5221" w:rsidP="000C7BDE">
            <w:pPr>
              <w:spacing w:after="0"/>
              <w:contextualSpacing/>
              <w:jc w:val="center"/>
              <w:rPr>
                <w:color w:val="auto"/>
                <w:sz w:val="24"/>
                <w:lang w:eastAsia="en-US"/>
              </w:rPr>
            </w:pPr>
            <w:r w:rsidRPr="003E2FB7">
              <w:rPr>
                <w:color w:val="auto"/>
                <w:sz w:val="24"/>
                <w:lang w:eastAsia="en-US"/>
              </w:rPr>
              <w:t xml:space="preserve">Project </w:t>
            </w:r>
            <w:r w:rsidR="006E5772" w:rsidRPr="003E2FB7">
              <w:rPr>
                <w:color w:val="auto"/>
                <w:sz w:val="24"/>
                <w:lang w:eastAsia="en-US"/>
              </w:rPr>
              <w:t>details</w:t>
            </w:r>
          </w:p>
        </w:tc>
      </w:tr>
      <w:tr w:rsidR="003E2FB7" w:rsidRPr="003E2FB7" w14:paraId="7FBE0794" w14:textId="77777777" w:rsidTr="006E577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vAlign w:val="center"/>
          </w:tcPr>
          <w:p w14:paraId="7EF0E75C" w14:textId="404435B9" w:rsidR="00A916F9" w:rsidRPr="003E2FB7" w:rsidRDefault="00A916F9" w:rsidP="000C7BDE">
            <w:pPr>
              <w:spacing w:after="0"/>
              <w:contextualSpacing/>
              <w:jc w:val="center"/>
              <w:rPr>
                <w:color w:val="auto"/>
                <w:sz w:val="24"/>
                <w:lang w:eastAsia="en-US"/>
              </w:rPr>
            </w:pPr>
            <w:r w:rsidRPr="003E2FB7">
              <w:rPr>
                <w:color w:val="auto"/>
                <w:sz w:val="24"/>
              </w:rPr>
              <w:t>Technology</w:t>
            </w:r>
          </w:p>
        </w:tc>
        <w:tc>
          <w:tcPr>
            <w:tcW w:w="2248" w:type="dxa"/>
            <w:shd w:val="clear" w:color="auto" w:fill="auto"/>
            <w:vAlign w:val="center"/>
          </w:tcPr>
          <w:p w14:paraId="7AE8A6FC" w14:textId="3D921E66"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3E2FB7">
              <w:rPr>
                <w:color w:val="auto"/>
                <w:sz w:val="24"/>
                <w:lang w:eastAsia="en-US"/>
              </w:rPr>
              <w:t>Online platform including wiki, blog, repository, and forum</w:t>
            </w:r>
          </w:p>
        </w:tc>
        <w:tc>
          <w:tcPr>
            <w:tcW w:w="2102" w:type="dxa"/>
            <w:shd w:val="clear" w:color="auto" w:fill="auto"/>
            <w:vAlign w:val="center"/>
          </w:tcPr>
          <w:p w14:paraId="4A5B0769" w14:textId="78D1B442"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3E2FB7">
              <w:rPr>
                <w:b/>
                <w:color w:val="auto"/>
                <w:sz w:val="24"/>
              </w:rPr>
              <w:t>Training</w:t>
            </w:r>
          </w:p>
        </w:tc>
        <w:tc>
          <w:tcPr>
            <w:tcW w:w="2404" w:type="dxa"/>
            <w:shd w:val="clear" w:color="auto" w:fill="auto"/>
            <w:vAlign w:val="center"/>
          </w:tcPr>
          <w:p w14:paraId="21381659" w14:textId="3D256307"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3E2FB7">
              <w:rPr>
                <w:color w:val="auto"/>
                <w:sz w:val="24"/>
                <w:lang w:eastAsia="en-US"/>
              </w:rPr>
              <w:t>N</w:t>
            </w:r>
            <w:r w:rsidR="007E43CF" w:rsidRPr="003E2FB7">
              <w:rPr>
                <w:color w:val="auto"/>
                <w:sz w:val="24"/>
                <w:lang w:eastAsia="en-US"/>
              </w:rPr>
              <w:t>ot available</w:t>
            </w:r>
          </w:p>
        </w:tc>
      </w:tr>
      <w:tr w:rsidR="003E2FB7" w:rsidRPr="003E2FB7" w14:paraId="35D0C697" w14:textId="77777777" w:rsidTr="006E5772">
        <w:trPr>
          <w:trHeight w:val="20"/>
          <w:jc w:val="center"/>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vAlign w:val="center"/>
          </w:tcPr>
          <w:p w14:paraId="3835C243" w14:textId="57E3D592" w:rsidR="007E43CF" w:rsidRPr="003E2FB7" w:rsidRDefault="000C7BDE" w:rsidP="000C7BDE">
            <w:pPr>
              <w:spacing w:after="0"/>
              <w:contextualSpacing/>
              <w:jc w:val="center"/>
              <w:rPr>
                <w:color w:val="auto"/>
                <w:sz w:val="24"/>
              </w:rPr>
            </w:pPr>
            <w:r w:rsidRPr="003E2FB7">
              <w:rPr>
                <w:color w:val="auto"/>
                <w:sz w:val="24"/>
              </w:rPr>
              <w:t>Year program started</w:t>
            </w:r>
          </w:p>
        </w:tc>
        <w:tc>
          <w:tcPr>
            <w:tcW w:w="2248" w:type="dxa"/>
            <w:shd w:val="clear" w:color="auto" w:fill="auto"/>
            <w:vAlign w:val="center"/>
          </w:tcPr>
          <w:p w14:paraId="016A43CF" w14:textId="7A9AF7C4"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3E2FB7">
              <w:rPr>
                <w:color w:val="auto"/>
                <w:sz w:val="24"/>
                <w:lang w:eastAsia="en-US"/>
              </w:rPr>
              <w:t>2016</w:t>
            </w:r>
          </w:p>
        </w:tc>
        <w:tc>
          <w:tcPr>
            <w:tcW w:w="2102" w:type="dxa"/>
            <w:shd w:val="clear" w:color="auto" w:fill="auto"/>
            <w:vAlign w:val="center"/>
          </w:tcPr>
          <w:p w14:paraId="64B809E7" w14:textId="3C49D18B"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3E2FB7">
              <w:rPr>
                <w:b/>
                <w:color w:val="auto"/>
                <w:sz w:val="24"/>
                <w:lang w:eastAsia="en-US"/>
              </w:rPr>
              <w:t>Cost to users</w:t>
            </w:r>
          </w:p>
        </w:tc>
        <w:tc>
          <w:tcPr>
            <w:tcW w:w="2404" w:type="dxa"/>
            <w:shd w:val="clear" w:color="auto" w:fill="auto"/>
            <w:vAlign w:val="center"/>
          </w:tcPr>
          <w:p w14:paraId="0360DB7C" w14:textId="5AC366E0"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rPr>
            </w:pPr>
            <w:r w:rsidRPr="003E2FB7">
              <w:rPr>
                <w:color w:val="auto"/>
                <w:sz w:val="24"/>
              </w:rPr>
              <w:t>Free to users</w:t>
            </w:r>
          </w:p>
        </w:tc>
      </w:tr>
      <w:tr w:rsidR="003E2FB7" w:rsidRPr="003E2FB7" w14:paraId="26C6D335" w14:textId="77777777" w:rsidTr="006E577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vAlign w:val="center"/>
          </w:tcPr>
          <w:p w14:paraId="255F5E95" w14:textId="262004E7" w:rsidR="00A916F9" w:rsidRPr="003E2FB7" w:rsidRDefault="00A916F9" w:rsidP="000C7BDE">
            <w:pPr>
              <w:spacing w:after="0"/>
              <w:contextualSpacing/>
              <w:jc w:val="center"/>
              <w:rPr>
                <w:color w:val="auto"/>
                <w:sz w:val="24"/>
                <w:lang w:eastAsia="en-US"/>
              </w:rPr>
            </w:pPr>
            <w:r w:rsidRPr="003E2FB7">
              <w:rPr>
                <w:color w:val="auto"/>
                <w:sz w:val="24"/>
                <w:lang w:eastAsia="en-US"/>
              </w:rPr>
              <w:t>Geography</w:t>
            </w:r>
          </w:p>
        </w:tc>
        <w:tc>
          <w:tcPr>
            <w:tcW w:w="2248" w:type="dxa"/>
            <w:shd w:val="clear" w:color="auto" w:fill="auto"/>
            <w:vAlign w:val="center"/>
          </w:tcPr>
          <w:p w14:paraId="56BC37CB" w14:textId="3568DE92"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3E2FB7">
              <w:rPr>
                <w:color w:val="auto"/>
                <w:sz w:val="24"/>
                <w:lang w:eastAsia="en-US"/>
              </w:rPr>
              <w:t>Urban and rural</w:t>
            </w:r>
          </w:p>
        </w:tc>
        <w:tc>
          <w:tcPr>
            <w:tcW w:w="2102" w:type="dxa"/>
            <w:shd w:val="clear" w:color="auto" w:fill="auto"/>
            <w:vAlign w:val="center"/>
          </w:tcPr>
          <w:p w14:paraId="0DB55365" w14:textId="7BD72D69"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3E2FB7">
              <w:rPr>
                <w:b/>
                <w:color w:val="auto"/>
                <w:sz w:val="24"/>
              </w:rPr>
              <w:t>Total cost of program</w:t>
            </w:r>
          </w:p>
        </w:tc>
        <w:tc>
          <w:tcPr>
            <w:tcW w:w="2404" w:type="dxa"/>
            <w:shd w:val="clear" w:color="auto" w:fill="auto"/>
            <w:vAlign w:val="center"/>
          </w:tcPr>
          <w:p w14:paraId="30B753A5" w14:textId="0F9FDB5A"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color w:val="auto"/>
                <w:sz w:val="24"/>
              </w:rPr>
            </w:pPr>
            <w:r w:rsidRPr="003E2FB7">
              <w:rPr>
                <w:color w:val="auto"/>
                <w:sz w:val="24"/>
              </w:rPr>
              <w:t>Fixed</w:t>
            </w:r>
            <w:r w:rsidR="007E43CF" w:rsidRPr="003E2FB7">
              <w:rPr>
                <w:color w:val="auto"/>
                <w:sz w:val="24"/>
              </w:rPr>
              <w:t xml:space="preserve"> cost</w:t>
            </w:r>
            <w:r w:rsidRPr="003E2FB7">
              <w:rPr>
                <w:color w:val="auto"/>
                <w:sz w:val="24"/>
              </w:rPr>
              <w:t>: US$ 7,400</w:t>
            </w:r>
          </w:p>
          <w:p w14:paraId="004D0BB5" w14:textId="5D451060" w:rsidR="00A916F9" w:rsidRPr="003E2FB7" w:rsidRDefault="00A916F9" w:rsidP="000C7BDE">
            <w:pPr>
              <w:spacing w:after="0"/>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p>
        </w:tc>
      </w:tr>
      <w:tr w:rsidR="003E2FB7" w:rsidRPr="003E2FB7" w14:paraId="4B577657" w14:textId="77777777" w:rsidTr="006E5772">
        <w:trPr>
          <w:trHeight w:val="20"/>
          <w:jc w:val="center"/>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vAlign w:val="center"/>
          </w:tcPr>
          <w:p w14:paraId="34A1516D" w14:textId="699FCB25" w:rsidR="00A916F9" w:rsidRPr="003E2FB7" w:rsidRDefault="00A916F9" w:rsidP="000C7BDE">
            <w:pPr>
              <w:spacing w:after="0"/>
              <w:contextualSpacing/>
              <w:jc w:val="center"/>
              <w:rPr>
                <w:color w:val="auto"/>
                <w:sz w:val="24"/>
                <w:lang w:eastAsia="en-US"/>
              </w:rPr>
            </w:pPr>
            <w:r w:rsidRPr="003E2FB7">
              <w:rPr>
                <w:color w:val="auto"/>
                <w:sz w:val="24"/>
              </w:rPr>
              <w:t>User profile</w:t>
            </w:r>
          </w:p>
        </w:tc>
        <w:tc>
          <w:tcPr>
            <w:tcW w:w="2248" w:type="dxa"/>
            <w:shd w:val="clear" w:color="auto" w:fill="auto"/>
            <w:vAlign w:val="center"/>
          </w:tcPr>
          <w:p w14:paraId="2BBD9B2A" w14:textId="3BC2C21B"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3E2FB7">
              <w:rPr>
                <w:color w:val="auto"/>
                <w:sz w:val="24"/>
                <w:lang w:eastAsia="en-US"/>
              </w:rPr>
              <w:t xml:space="preserve">Villagers, local </w:t>
            </w:r>
            <w:r w:rsidR="0024405A" w:rsidRPr="003E2FB7">
              <w:rPr>
                <w:color w:val="auto"/>
                <w:sz w:val="24"/>
                <w:lang w:eastAsia="en-US"/>
              </w:rPr>
              <w:t xml:space="preserve">and central </w:t>
            </w:r>
            <w:r w:rsidRPr="003E2FB7">
              <w:rPr>
                <w:color w:val="auto"/>
                <w:sz w:val="24"/>
                <w:lang w:eastAsia="en-US"/>
              </w:rPr>
              <w:t>government</w:t>
            </w:r>
            <w:r w:rsidR="0024405A" w:rsidRPr="003E2FB7">
              <w:rPr>
                <w:color w:val="auto"/>
                <w:sz w:val="24"/>
                <w:lang w:eastAsia="en-US"/>
              </w:rPr>
              <w:t xml:space="preserve"> officers</w:t>
            </w:r>
          </w:p>
        </w:tc>
        <w:tc>
          <w:tcPr>
            <w:tcW w:w="2102" w:type="dxa"/>
            <w:shd w:val="clear" w:color="auto" w:fill="auto"/>
            <w:vAlign w:val="center"/>
          </w:tcPr>
          <w:p w14:paraId="23F6688F" w14:textId="5BE51C3F"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3E2FB7">
              <w:rPr>
                <w:b/>
                <w:color w:val="auto"/>
                <w:sz w:val="24"/>
              </w:rPr>
              <w:t>Associated organizations</w:t>
            </w:r>
          </w:p>
        </w:tc>
        <w:tc>
          <w:tcPr>
            <w:tcW w:w="2404" w:type="dxa"/>
            <w:shd w:val="clear" w:color="auto" w:fill="auto"/>
            <w:vAlign w:val="center"/>
          </w:tcPr>
          <w:p w14:paraId="60E12B33" w14:textId="55CB1B58"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3E2FB7">
              <w:rPr>
                <w:color w:val="auto"/>
                <w:sz w:val="24"/>
                <w:lang w:eastAsia="en-US"/>
              </w:rPr>
              <w:t>Institute of Development Studies at Sussex University</w:t>
            </w:r>
            <w:r w:rsidR="007E43CF" w:rsidRPr="003E2FB7">
              <w:rPr>
                <w:color w:val="auto"/>
                <w:sz w:val="24"/>
                <w:lang w:eastAsia="en-US"/>
              </w:rPr>
              <w:t>,</w:t>
            </w:r>
          </w:p>
          <w:p w14:paraId="2D5A22EA" w14:textId="02AEBD60"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3E2FB7">
              <w:rPr>
                <w:color w:val="auto"/>
                <w:sz w:val="24"/>
                <w:lang w:eastAsia="en-US"/>
              </w:rPr>
              <w:t>MAVC</w:t>
            </w:r>
            <w:r w:rsidR="007E43CF" w:rsidRPr="003E2FB7">
              <w:rPr>
                <w:color w:val="auto"/>
                <w:sz w:val="24"/>
                <w:lang w:eastAsia="en-US"/>
              </w:rPr>
              <w:t>,</w:t>
            </w:r>
          </w:p>
          <w:p w14:paraId="74F72AC5" w14:textId="46FF1C1E"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3E2FB7">
              <w:rPr>
                <w:color w:val="auto"/>
                <w:sz w:val="24"/>
                <w:lang w:eastAsia="en-US"/>
              </w:rPr>
              <w:t>PATTIRO</w:t>
            </w:r>
            <w:r w:rsidR="007E43CF" w:rsidRPr="003E2FB7">
              <w:rPr>
                <w:color w:val="auto"/>
                <w:sz w:val="24"/>
                <w:lang w:eastAsia="en-US"/>
              </w:rPr>
              <w:t>,</w:t>
            </w:r>
          </w:p>
          <w:p w14:paraId="3F1608AC" w14:textId="42E4CBC6" w:rsidR="00A916F9" w:rsidRPr="003E2FB7" w:rsidRDefault="00A916F9" w:rsidP="000C7BDE">
            <w:pPr>
              <w:spacing w:after="0"/>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3E2FB7">
              <w:rPr>
                <w:color w:val="auto"/>
                <w:sz w:val="24"/>
                <w:lang w:eastAsia="en-US"/>
              </w:rPr>
              <w:t>USAID</w:t>
            </w:r>
          </w:p>
        </w:tc>
      </w:tr>
    </w:tbl>
    <w:p w14:paraId="5EA84BF5" w14:textId="3105F447" w:rsidR="00286CB9" w:rsidRPr="003E2FB7" w:rsidRDefault="00DD7C2B" w:rsidP="000C7BDE">
      <w:pPr>
        <w:pStyle w:val="Heading1"/>
        <w:rPr>
          <w:b/>
          <w:color w:val="auto"/>
        </w:rPr>
      </w:pPr>
      <w:r w:rsidRPr="003E2FB7">
        <w:rPr>
          <w:color w:val="auto"/>
        </w:rPr>
        <w:t>Progress and Results</w:t>
      </w:r>
    </w:p>
    <w:p w14:paraId="4FC082AD" w14:textId="5E54DC2E" w:rsidR="00D01AF7" w:rsidRPr="003E2FB7" w:rsidRDefault="007E43CF" w:rsidP="000C7BDE">
      <w:r w:rsidRPr="003E2FB7">
        <w:t xml:space="preserve">As of 2017, </w:t>
      </w:r>
      <w:proofErr w:type="spellStart"/>
      <w:r w:rsidR="00D01AF7" w:rsidRPr="003E2FB7">
        <w:t>Kedesa</w:t>
      </w:r>
      <w:proofErr w:type="spellEnd"/>
      <w:r w:rsidR="00D01AF7" w:rsidRPr="003E2FB7">
        <w:t xml:space="preserve"> serves 74,000 villages, 34 provinces, and 530 district governments. </w:t>
      </w:r>
    </w:p>
    <w:p w14:paraId="57874322" w14:textId="2CB99F5C" w:rsidR="00385B9B" w:rsidRPr="003E2FB7" w:rsidRDefault="00E947AA" w:rsidP="000C7BDE">
      <w:proofErr w:type="spellStart"/>
      <w:r w:rsidRPr="003E2FB7">
        <w:t>Kedesa</w:t>
      </w:r>
      <w:proofErr w:type="spellEnd"/>
      <w:r w:rsidRPr="003E2FB7">
        <w:t xml:space="preserve"> </w:t>
      </w:r>
      <w:r w:rsidR="00D01AF7" w:rsidRPr="003E2FB7">
        <w:t xml:space="preserve">seeks to be a feedback mechanism and platform for </w:t>
      </w:r>
      <w:r w:rsidRPr="003E2FB7">
        <w:t xml:space="preserve">multi-channel communication between the various parties to Village Law. </w:t>
      </w:r>
      <w:r w:rsidR="004151FF" w:rsidRPr="003E2FB7">
        <w:t>This</w:t>
      </w:r>
      <w:r w:rsidR="009F24AE" w:rsidRPr="003E2FB7">
        <w:t xml:space="preserve"> </w:t>
      </w:r>
      <w:r w:rsidR="00D01AF7" w:rsidRPr="003E2FB7">
        <w:t xml:space="preserve">requires </w:t>
      </w:r>
      <w:r w:rsidR="004151FF" w:rsidRPr="003E2FB7">
        <w:t>strategic</w:t>
      </w:r>
      <w:r w:rsidR="009F24AE" w:rsidRPr="003E2FB7">
        <w:t xml:space="preserve"> </w:t>
      </w:r>
      <w:r w:rsidR="004151FF" w:rsidRPr="003E2FB7">
        <w:t>and</w:t>
      </w:r>
      <w:r w:rsidR="009F24AE" w:rsidRPr="003E2FB7">
        <w:t xml:space="preserve"> </w:t>
      </w:r>
      <w:r w:rsidR="004151FF" w:rsidRPr="003E2FB7">
        <w:t>innovative</w:t>
      </w:r>
      <w:r w:rsidR="009F24AE" w:rsidRPr="003E2FB7">
        <w:t xml:space="preserve"> </w:t>
      </w:r>
      <w:r w:rsidR="004151FF" w:rsidRPr="003E2FB7">
        <w:t>use</w:t>
      </w:r>
      <w:r w:rsidR="009F24AE" w:rsidRPr="003E2FB7">
        <w:t xml:space="preserve"> </w:t>
      </w:r>
      <w:r w:rsidR="004151FF" w:rsidRPr="003E2FB7">
        <w:t>of</w:t>
      </w:r>
      <w:r w:rsidR="009F24AE" w:rsidRPr="003E2FB7">
        <w:t xml:space="preserve"> </w:t>
      </w:r>
      <w:r w:rsidR="004151FF" w:rsidRPr="003E2FB7">
        <w:t>communication</w:t>
      </w:r>
      <w:r w:rsidR="009F24AE" w:rsidRPr="003E2FB7">
        <w:t xml:space="preserve"> </w:t>
      </w:r>
      <w:r w:rsidR="004151FF" w:rsidRPr="003E2FB7">
        <w:t>methods</w:t>
      </w:r>
      <w:r w:rsidR="009F24AE" w:rsidRPr="003E2FB7">
        <w:t xml:space="preserve"> </w:t>
      </w:r>
      <w:r w:rsidR="004151FF" w:rsidRPr="003E2FB7">
        <w:t>and</w:t>
      </w:r>
      <w:r w:rsidR="009F24AE" w:rsidRPr="003E2FB7">
        <w:t xml:space="preserve"> </w:t>
      </w:r>
      <w:r w:rsidR="004151FF" w:rsidRPr="003E2FB7">
        <w:t>media.</w:t>
      </w:r>
      <w:r w:rsidRPr="003E2FB7">
        <w:t xml:space="preserve"> </w:t>
      </w:r>
      <w:r w:rsidR="00D01AF7" w:rsidRPr="003E2FB7">
        <w:t>I</w:t>
      </w:r>
      <w:r w:rsidRPr="003E2FB7">
        <w:t>nfrastructural challenges have presented major obstacles to the implementation of an online</w:t>
      </w:r>
      <w:r w:rsidR="00D01AF7" w:rsidRPr="003E2FB7">
        <w:t xml:space="preserve"> </w:t>
      </w:r>
      <w:r w:rsidRPr="003E2FB7">
        <w:t>platform</w:t>
      </w:r>
      <w:r w:rsidR="00D01AF7" w:rsidRPr="003E2FB7">
        <w:t xml:space="preserve"> as several villages do not have Internet access yet</w:t>
      </w:r>
      <w:r w:rsidR="002C4C12" w:rsidRPr="003E2FB7">
        <w:t>,</w:t>
      </w:r>
      <w:r w:rsidR="00D01AF7" w:rsidRPr="003E2FB7">
        <w:t xml:space="preserve"> and information dissemination outside of the government structure is difficult.</w:t>
      </w:r>
    </w:p>
    <w:p w14:paraId="018D29CE" w14:textId="1F02B3B4" w:rsidR="004151FF" w:rsidRPr="003E2FB7" w:rsidRDefault="00D01AF7" w:rsidP="000C7BDE">
      <w:r w:rsidRPr="003E2FB7">
        <w:t xml:space="preserve">While </w:t>
      </w:r>
      <w:proofErr w:type="spellStart"/>
      <w:r w:rsidR="00385B9B" w:rsidRPr="003E2FB7">
        <w:t>Kedesa</w:t>
      </w:r>
      <w:proofErr w:type="spellEnd"/>
      <w:r w:rsidR="00385B9B" w:rsidRPr="003E2FB7">
        <w:t xml:space="preserve"> was widely adopted</w:t>
      </w:r>
      <w:r w:rsidRPr="003E2FB7">
        <w:t xml:space="preserve"> initially during the rollout period, public reporting</w:t>
      </w:r>
      <w:r w:rsidR="00952AB7" w:rsidRPr="003E2FB7">
        <w:t>,</w:t>
      </w:r>
      <w:r w:rsidRPr="003E2FB7">
        <w:t xml:space="preserve"> and adoption has dwindled. E</w:t>
      </w:r>
      <w:r w:rsidR="002C4C12" w:rsidRPr="003E2FB7">
        <w:t xml:space="preserve">fforts to augment the </w:t>
      </w:r>
      <w:proofErr w:type="spellStart"/>
      <w:r w:rsidR="002C4C12" w:rsidRPr="003E2FB7">
        <w:t>Kedesa</w:t>
      </w:r>
      <w:proofErr w:type="spellEnd"/>
      <w:r w:rsidR="002C4C12" w:rsidRPr="003E2FB7">
        <w:t xml:space="preserve"> on</w:t>
      </w:r>
      <w:r w:rsidRPr="003E2FB7">
        <w:t>line pl</w:t>
      </w:r>
      <w:r w:rsidR="002C4C12" w:rsidRPr="003E2FB7">
        <w:t>atform with off</w:t>
      </w:r>
      <w:r w:rsidR="00952AB7" w:rsidRPr="003E2FB7">
        <w:t xml:space="preserve">line face-to-face meetings </w:t>
      </w:r>
      <w:r w:rsidRPr="003E2FB7">
        <w:t xml:space="preserve">and discussion forums </w:t>
      </w:r>
      <w:r w:rsidR="00952AB7" w:rsidRPr="003E2FB7">
        <w:t xml:space="preserve">that </w:t>
      </w:r>
      <w:r w:rsidRPr="003E2FB7">
        <w:t xml:space="preserve">seek to restore communication, but it is not clear that those meetings translate back into increased online adoption. </w:t>
      </w:r>
      <w:r w:rsidR="00385B9B" w:rsidRPr="003E2FB7">
        <w:t>This may b</w:t>
      </w:r>
      <w:r w:rsidR="00CD7220" w:rsidRPr="003E2FB7">
        <w:t>e due to insufficient awareness since</w:t>
      </w:r>
      <w:r w:rsidRPr="003E2FB7">
        <w:t xml:space="preserve"> </w:t>
      </w:r>
      <w:r w:rsidR="00385B9B" w:rsidRPr="003E2FB7">
        <w:t xml:space="preserve">media channels </w:t>
      </w:r>
      <w:r w:rsidRPr="003E2FB7">
        <w:t>have differ</w:t>
      </w:r>
      <w:r w:rsidR="00CD7220" w:rsidRPr="003E2FB7">
        <w:t xml:space="preserve">ent adoption rates, and </w:t>
      </w:r>
      <w:r w:rsidR="00385B9B" w:rsidRPr="003E2FB7">
        <w:t xml:space="preserve">advertising for </w:t>
      </w:r>
      <w:proofErr w:type="spellStart"/>
      <w:r w:rsidR="00385B9B" w:rsidRPr="003E2FB7">
        <w:t>Kedesa</w:t>
      </w:r>
      <w:proofErr w:type="spellEnd"/>
      <w:r w:rsidR="00385B9B" w:rsidRPr="003E2FB7">
        <w:t xml:space="preserve"> has been uneven across them</w:t>
      </w:r>
      <w:r w:rsidRPr="003E2FB7">
        <w:t>. It could also potentially be due to disillusionmen</w:t>
      </w:r>
      <w:r w:rsidR="00CD7220" w:rsidRPr="003E2FB7">
        <w:t>t about government transparency and/or</w:t>
      </w:r>
      <w:r w:rsidRPr="003E2FB7">
        <w:t xml:space="preserve"> dissatisfaction with efficacy of their participation in government. </w:t>
      </w:r>
    </w:p>
    <w:p w14:paraId="7CFD7738" w14:textId="57E99ED9" w:rsidR="00064898" w:rsidRPr="003E2FB7" w:rsidRDefault="00064898" w:rsidP="000C7BDE">
      <w:pPr>
        <w:pStyle w:val="Heading1"/>
        <w:rPr>
          <w:b/>
          <w:color w:val="auto"/>
        </w:rPr>
      </w:pPr>
      <w:r w:rsidRPr="003E2FB7">
        <w:rPr>
          <w:color w:val="auto"/>
        </w:rPr>
        <w:lastRenderedPageBreak/>
        <w:t>Challenges</w:t>
      </w:r>
    </w:p>
    <w:p w14:paraId="6A03DF55" w14:textId="441C9283" w:rsidR="00873EE0" w:rsidRPr="003E2FB7" w:rsidRDefault="00D930D6" w:rsidP="000C7BDE">
      <w:r w:rsidRPr="003E2FB7">
        <w:rPr>
          <w:b/>
        </w:rPr>
        <w:t>Lack of i</w:t>
      </w:r>
      <w:r w:rsidR="00873EE0" w:rsidRPr="003E2FB7">
        <w:rPr>
          <w:b/>
        </w:rPr>
        <w:t>nfrastructure</w:t>
      </w:r>
      <w:r w:rsidR="00B70565" w:rsidRPr="003E2FB7">
        <w:rPr>
          <w:b/>
        </w:rPr>
        <w:t xml:space="preserve"> – </w:t>
      </w:r>
      <w:r w:rsidR="00D01AF7" w:rsidRPr="003E2FB7">
        <w:t>Lack of Internet connectivity</w:t>
      </w:r>
      <w:r w:rsidR="00873EE0" w:rsidRPr="003E2FB7">
        <w:t xml:space="preserve"> presents a major obstacle to </w:t>
      </w:r>
      <w:r w:rsidRPr="003E2FB7">
        <w:t xml:space="preserve">substantial online </w:t>
      </w:r>
      <w:r w:rsidR="00873EE0" w:rsidRPr="003E2FB7">
        <w:t>participation.</w:t>
      </w:r>
      <w:r w:rsidRPr="003E2FB7">
        <w:t xml:space="preserve"> The organization reports that </w:t>
      </w:r>
      <w:r w:rsidR="00C90152" w:rsidRPr="003E2FB7">
        <w:t xml:space="preserve">face-to-face discussions </w:t>
      </w:r>
      <w:r w:rsidRPr="003E2FB7">
        <w:t xml:space="preserve">were </w:t>
      </w:r>
      <w:r w:rsidR="00C90152" w:rsidRPr="003E2FB7">
        <w:t xml:space="preserve">successful in getting multiple </w:t>
      </w:r>
      <w:r w:rsidR="00CD7220" w:rsidRPr="003E2FB7">
        <w:t>stakeholders to discuss village-</w:t>
      </w:r>
      <w:r w:rsidR="00C90152" w:rsidRPr="003E2FB7">
        <w:t>related issues</w:t>
      </w:r>
      <w:r w:rsidRPr="003E2FB7">
        <w:t xml:space="preserve"> in ways that </w:t>
      </w:r>
      <w:r w:rsidR="00C90152" w:rsidRPr="003E2FB7">
        <w:t xml:space="preserve">the online platform </w:t>
      </w:r>
      <w:r w:rsidRPr="003E2FB7">
        <w:t>has not yet been able to replicate.</w:t>
      </w:r>
    </w:p>
    <w:p w14:paraId="5049179B" w14:textId="26BE5220" w:rsidR="00F26F6F" w:rsidRPr="003E2FB7" w:rsidRDefault="00DD025B" w:rsidP="000C7BDE">
      <w:r w:rsidRPr="003E2FB7">
        <w:rPr>
          <w:b/>
        </w:rPr>
        <w:t>Lack of village level contributors</w:t>
      </w:r>
      <w:r w:rsidR="00B70565" w:rsidRPr="003E2FB7">
        <w:rPr>
          <w:b/>
        </w:rPr>
        <w:t xml:space="preserve"> – </w:t>
      </w:r>
      <w:r w:rsidR="00C90152" w:rsidRPr="003E2FB7">
        <w:t>P</w:t>
      </w:r>
      <w:r w:rsidRPr="003E2FB7">
        <w:t>ATTIRO</w:t>
      </w:r>
      <w:r w:rsidR="00C90152" w:rsidRPr="003E2FB7">
        <w:t xml:space="preserve"> </w:t>
      </w:r>
      <w:r w:rsidR="00B719F5" w:rsidRPr="003E2FB7">
        <w:t>continues to</w:t>
      </w:r>
      <w:r w:rsidR="00C90152" w:rsidRPr="003E2FB7">
        <w:t xml:space="preserve"> face </w:t>
      </w:r>
      <w:r w:rsidRPr="003E2FB7">
        <w:t xml:space="preserve">a challenge in </w:t>
      </w:r>
      <w:r w:rsidR="00DF09EF" w:rsidRPr="003E2FB7">
        <w:t>increasing community</w:t>
      </w:r>
      <w:r w:rsidR="00C90152" w:rsidRPr="003E2FB7">
        <w:t xml:space="preserve"> participation</w:t>
      </w:r>
      <w:r w:rsidRPr="003E2FB7">
        <w:t xml:space="preserve"> in the online platform to form an effective feedback loop.</w:t>
      </w:r>
      <w:r w:rsidR="00C90152" w:rsidRPr="003E2FB7">
        <w:t xml:space="preserve"> </w:t>
      </w:r>
    </w:p>
    <w:p w14:paraId="0156730E" w14:textId="478B5074" w:rsidR="00144C8D" w:rsidRPr="003E2FB7" w:rsidRDefault="00DD025B" w:rsidP="000C7BDE">
      <w:r w:rsidRPr="003E2FB7">
        <w:rPr>
          <w:b/>
        </w:rPr>
        <w:t>Uneven investment across stakeholders and a lack of ministerial support</w:t>
      </w:r>
      <w:r w:rsidR="00B70565" w:rsidRPr="003E2FB7">
        <w:t xml:space="preserve"> </w:t>
      </w:r>
      <w:r w:rsidR="00B70565" w:rsidRPr="003E2FB7">
        <w:rPr>
          <w:b/>
        </w:rPr>
        <w:t>–</w:t>
      </w:r>
      <w:r w:rsidR="004F0813" w:rsidRPr="003E2FB7">
        <w:t xml:space="preserve"> </w:t>
      </w:r>
      <w:r w:rsidRPr="003E2FB7">
        <w:t xml:space="preserve">Ministry media </w:t>
      </w:r>
      <w:r w:rsidR="00DF09EF" w:rsidRPr="003E2FB7">
        <w:t>channels have</w:t>
      </w:r>
      <w:r w:rsidRPr="003E2FB7">
        <w:t xml:space="preserve"> been resistant to</w:t>
      </w:r>
      <w:r w:rsidR="00B719F5" w:rsidRPr="003E2FB7">
        <w:t xml:space="preserve"> publicizing and utilizing the </w:t>
      </w:r>
      <w:proofErr w:type="spellStart"/>
      <w:r w:rsidR="00B719F5" w:rsidRPr="003E2FB7">
        <w:t>K</w:t>
      </w:r>
      <w:r w:rsidRPr="003E2FB7">
        <w:t>edesa</w:t>
      </w:r>
      <w:proofErr w:type="spellEnd"/>
      <w:r w:rsidRPr="003E2FB7">
        <w:t xml:space="preserve"> platform, hampering its outreach to villages where this is the main mode of communication. </w:t>
      </w:r>
    </w:p>
    <w:p w14:paraId="0ECA4D3D" w14:textId="2A75EC49" w:rsidR="00286CB9" w:rsidRPr="003E2FB7" w:rsidRDefault="001313BA" w:rsidP="000C7BDE">
      <w:pPr>
        <w:pStyle w:val="Heading1"/>
        <w:rPr>
          <w:b/>
          <w:color w:val="auto"/>
        </w:rPr>
      </w:pPr>
      <w:r w:rsidRPr="003E2FB7">
        <w:rPr>
          <w:color w:val="auto"/>
        </w:rPr>
        <w:t>PATTIRO</w:t>
      </w:r>
      <w:r w:rsidR="00DD7C2B" w:rsidRPr="003E2FB7">
        <w:rPr>
          <w:color w:val="auto"/>
        </w:rPr>
        <w:t>’s Suggestions for Future Projects</w:t>
      </w:r>
    </w:p>
    <w:p w14:paraId="7F1A83EF" w14:textId="3FCB5E60" w:rsidR="001C2F60" w:rsidRPr="003E2FB7" w:rsidRDefault="005465CE" w:rsidP="000C7BDE">
      <w:r w:rsidRPr="003E2FB7">
        <w:rPr>
          <w:b/>
        </w:rPr>
        <w:t>Online platform</w:t>
      </w:r>
      <w:r w:rsidR="00DF09EF" w:rsidRPr="003E2FB7">
        <w:rPr>
          <w:b/>
        </w:rPr>
        <w:t>s require offline service complementation</w:t>
      </w:r>
      <w:r w:rsidR="00DD025B" w:rsidRPr="003E2FB7">
        <w:rPr>
          <w:b/>
        </w:rPr>
        <w:t xml:space="preserve"> for e-governance services</w:t>
      </w:r>
      <w:r w:rsidR="00B70565" w:rsidRPr="003E2FB7">
        <w:rPr>
          <w:b/>
        </w:rPr>
        <w:t xml:space="preserve"> – </w:t>
      </w:r>
      <w:r w:rsidRPr="003E2FB7">
        <w:t>Formal and informal offline discussions help augment the ado</w:t>
      </w:r>
      <w:r w:rsidR="006547DA" w:rsidRPr="003E2FB7">
        <w:t xml:space="preserve">ption and use of </w:t>
      </w:r>
      <w:proofErr w:type="spellStart"/>
      <w:r w:rsidR="006547DA" w:rsidRPr="003E2FB7">
        <w:t>Kedesa</w:t>
      </w:r>
      <w:proofErr w:type="spellEnd"/>
      <w:r w:rsidR="006547DA" w:rsidRPr="003E2FB7">
        <w:t xml:space="preserve">, </w:t>
      </w:r>
      <w:r w:rsidRPr="003E2FB7">
        <w:t>and the implementation of the community insights expressed online</w:t>
      </w:r>
      <w:r w:rsidR="00DD025B" w:rsidRPr="003E2FB7">
        <w:t xml:space="preserve">. </w:t>
      </w:r>
    </w:p>
    <w:p w14:paraId="10BD9EE7" w14:textId="2E75BE23" w:rsidR="00D930D6" w:rsidRPr="003E2FB7" w:rsidRDefault="00DD025B" w:rsidP="000C7BDE">
      <w:pPr>
        <w:rPr>
          <w:b/>
        </w:rPr>
      </w:pPr>
      <w:r w:rsidRPr="003E2FB7">
        <w:rPr>
          <w:b/>
        </w:rPr>
        <w:t>Stakeholder identification and communication for outreach plays a role in ensuring success</w:t>
      </w:r>
      <w:r w:rsidR="00B70565" w:rsidRPr="003E2FB7">
        <w:rPr>
          <w:b/>
        </w:rPr>
        <w:t xml:space="preserve"> – </w:t>
      </w:r>
      <w:r w:rsidRPr="003E2FB7">
        <w:t>K</w:t>
      </w:r>
      <w:r w:rsidR="00D930D6" w:rsidRPr="003E2FB7">
        <w:t>ey stakeholders</w:t>
      </w:r>
      <w:r w:rsidR="00B719F5" w:rsidRPr="003E2FB7">
        <w:t xml:space="preserve">, </w:t>
      </w:r>
      <w:r w:rsidR="006547DA" w:rsidRPr="003E2FB7">
        <w:t xml:space="preserve">their roles </w:t>
      </w:r>
      <w:r w:rsidR="00D930D6" w:rsidRPr="003E2FB7">
        <w:t xml:space="preserve">and responsibilities in the feedback loop </w:t>
      </w:r>
      <w:r w:rsidR="006547DA" w:rsidRPr="003E2FB7">
        <w:t>mechanism</w:t>
      </w:r>
      <w:r w:rsidR="00A916F9" w:rsidRPr="003E2FB7">
        <w:t xml:space="preserve"> as well as knowledge</w:t>
      </w:r>
      <w:r w:rsidR="006547DA" w:rsidRPr="003E2FB7">
        <w:t xml:space="preserve"> and involvement</w:t>
      </w:r>
      <w:r w:rsidR="00A916F9" w:rsidRPr="003E2FB7">
        <w:t xml:space="preserve">, can help </w:t>
      </w:r>
      <w:r w:rsidR="00D930D6" w:rsidRPr="003E2FB7">
        <w:t xml:space="preserve">make the system more relevant and effective. </w:t>
      </w:r>
    </w:p>
    <w:p w14:paraId="182872F4" w14:textId="70CBDB72" w:rsidR="00A916F9" w:rsidRPr="003E2FB7" w:rsidRDefault="00A916F9" w:rsidP="000C7BDE">
      <w:pPr>
        <w:pStyle w:val="Heading1"/>
        <w:rPr>
          <w:b/>
          <w:color w:val="auto"/>
        </w:rPr>
      </w:pPr>
      <w:r w:rsidRPr="003E2FB7">
        <w:rPr>
          <w:color w:val="auto"/>
        </w:rPr>
        <w:t>Sources</w:t>
      </w:r>
    </w:p>
    <w:p w14:paraId="34FD09A3" w14:textId="77777777" w:rsidR="006E5772" w:rsidRPr="003E2FB7" w:rsidRDefault="006E5772" w:rsidP="000C7BDE">
      <w:pPr>
        <w:contextualSpacing/>
      </w:pPr>
      <w:proofErr w:type="spellStart"/>
      <w:r w:rsidRPr="003E2FB7">
        <w:t>Rostanty</w:t>
      </w:r>
      <w:proofErr w:type="spellEnd"/>
      <w:r w:rsidRPr="003E2FB7">
        <w:t>, M. (2017, September 21) Personal Interview</w:t>
      </w:r>
    </w:p>
    <w:p w14:paraId="31DCD2A0" w14:textId="6A677C8B" w:rsidR="00A916F9" w:rsidRPr="003E2FB7" w:rsidRDefault="00A916F9" w:rsidP="000C7BDE">
      <w:pPr>
        <w:contextualSpacing/>
      </w:pPr>
      <w:r w:rsidRPr="003E2FB7">
        <w:t xml:space="preserve">Project website: </w:t>
      </w:r>
      <w:hyperlink r:id="rId10" w:history="1">
        <w:r w:rsidRPr="003E2FB7">
          <w:rPr>
            <w:rStyle w:val="Hyperlink"/>
            <w:color w:val="auto"/>
            <w:u w:val="none"/>
          </w:rPr>
          <w:t>http://kedesa.id/id_ID/</w:t>
        </w:r>
      </w:hyperlink>
      <w:bookmarkStart w:id="0" w:name="_GoBack"/>
      <w:bookmarkEnd w:id="0"/>
    </w:p>
    <w:sectPr w:rsidR="00A916F9" w:rsidRPr="003E2FB7" w:rsidSect="007230D2">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80764" w14:textId="77777777" w:rsidR="000E7FC5" w:rsidRDefault="000E7FC5" w:rsidP="006E5772">
      <w:r>
        <w:separator/>
      </w:r>
    </w:p>
  </w:endnote>
  <w:endnote w:type="continuationSeparator" w:id="0">
    <w:p w14:paraId="41D56038" w14:textId="77777777" w:rsidR="000E7FC5" w:rsidRDefault="000E7FC5" w:rsidP="006E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071166"/>
      <w:docPartObj>
        <w:docPartGallery w:val="Page Numbers (Bottom of Page)"/>
        <w:docPartUnique/>
      </w:docPartObj>
    </w:sdtPr>
    <w:sdtEndPr>
      <w:rPr>
        <w:noProof/>
      </w:rPr>
    </w:sdtEndPr>
    <w:sdtContent>
      <w:p w14:paraId="46D70BDB" w14:textId="37D7B793" w:rsidR="005B4DC3" w:rsidRDefault="005B4DC3" w:rsidP="00890928">
        <w:pPr>
          <w:pStyle w:val="Footer"/>
          <w:spacing w:after="0"/>
          <w:jc w:val="center"/>
        </w:pPr>
        <w:r>
          <w:fldChar w:fldCharType="begin"/>
        </w:r>
        <w:r>
          <w:instrText xml:space="preserve"> PAGE   \* MERGEFORMAT </w:instrText>
        </w:r>
        <w:r>
          <w:fldChar w:fldCharType="separate"/>
        </w:r>
        <w:r w:rsidR="000C7BDE">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9113"/>
      <w:docPartObj>
        <w:docPartGallery w:val="Page Numbers (Bottom of Page)"/>
        <w:docPartUnique/>
      </w:docPartObj>
    </w:sdtPr>
    <w:sdtEndPr>
      <w:rPr>
        <w:noProof/>
      </w:rPr>
    </w:sdtEndPr>
    <w:sdtContent>
      <w:p w14:paraId="1CCB8D40" w14:textId="3DA39B1E" w:rsidR="005B4DC3" w:rsidRDefault="005B4DC3" w:rsidP="00890928">
        <w:pPr>
          <w:pStyle w:val="Footer"/>
          <w:spacing w:after="0"/>
          <w:jc w:val="center"/>
        </w:pPr>
        <w:r w:rsidRPr="006E5772">
          <w:fldChar w:fldCharType="begin"/>
        </w:r>
        <w:r w:rsidRPr="006E5772">
          <w:instrText xml:space="preserve"> PAGE   \* MERGEFORMAT </w:instrText>
        </w:r>
        <w:r w:rsidRPr="006E5772">
          <w:fldChar w:fldCharType="separate"/>
        </w:r>
        <w:r w:rsidR="000C7BDE">
          <w:rPr>
            <w:noProof/>
          </w:rPr>
          <w:t>1</w:t>
        </w:r>
        <w:r w:rsidRPr="006E577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DF4AE" w14:textId="77777777" w:rsidR="000E7FC5" w:rsidRDefault="000E7FC5" w:rsidP="006E5772">
      <w:r>
        <w:separator/>
      </w:r>
    </w:p>
  </w:footnote>
  <w:footnote w:type="continuationSeparator" w:id="0">
    <w:p w14:paraId="754EDA30" w14:textId="77777777" w:rsidR="000E7FC5" w:rsidRDefault="000E7FC5" w:rsidP="006E5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2AC99C21" w:rsidR="00DF09EF" w:rsidRDefault="00B1743F" w:rsidP="006E5772">
    <w:pPr>
      <w:pStyle w:val="Header"/>
    </w:pPr>
    <w:r>
      <w:rPr>
        <w:noProof/>
        <w:lang w:eastAsia="en-US"/>
      </w:rPr>
      <w:drawing>
        <wp:anchor distT="0" distB="0" distL="114300" distR="114300" simplePos="0" relativeHeight="251658240" behindDoc="1" locked="0" layoutInCell="1" allowOverlap="1" wp14:anchorId="137774FC" wp14:editId="4FB70963">
          <wp:simplePos x="0" y="0"/>
          <wp:positionH relativeFrom="column">
            <wp:posOffset>0</wp:posOffset>
          </wp:positionH>
          <wp:positionV relativeFrom="paragraph">
            <wp:posOffset>0</wp:posOffset>
          </wp:positionV>
          <wp:extent cx="5727700" cy="1130300"/>
          <wp:effectExtent l="0" t="0" r="0" b="0"/>
          <wp:wrapTight wrapText="bothSides">
            <wp:wrapPolygon edited="0">
              <wp:start x="1580" y="0"/>
              <wp:lineTo x="1293" y="243"/>
              <wp:lineTo x="335" y="3398"/>
              <wp:lineTo x="0" y="7524"/>
              <wp:lineTo x="0" y="13106"/>
              <wp:lineTo x="96" y="15533"/>
              <wp:lineTo x="718" y="19416"/>
              <wp:lineTo x="766" y="19658"/>
              <wp:lineTo x="1485" y="21357"/>
              <wp:lineTo x="1580" y="21357"/>
              <wp:lineTo x="2682" y="21357"/>
              <wp:lineTo x="2778" y="21357"/>
              <wp:lineTo x="3496" y="19658"/>
              <wp:lineTo x="3496" y="19416"/>
              <wp:lineTo x="21552" y="17717"/>
              <wp:lineTo x="21552" y="4369"/>
              <wp:lineTo x="3975" y="3155"/>
              <wp:lineTo x="3065" y="485"/>
              <wp:lineTo x="2682" y="0"/>
              <wp:lineTo x="15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27700" cy="1130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F600B9"/>
    <w:multiLevelType w:val="hybridMultilevel"/>
    <w:tmpl w:val="B33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5FED"/>
    <w:multiLevelType w:val="hybridMultilevel"/>
    <w:tmpl w:val="BA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10A6D"/>
    <w:rsid w:val="000127FF"/>
    <w:rsid w:val="0001373B"/>
    <w:rsid w:val="000147C5"/>
    <w:rsid w:val="0001651A"/>
    <w:rsid w:val="00021183"/>
    <w:rsid w:val="0002644C"/>
    <w:rsid w:val="00033901"/>
    <w:rsid w:val="00036756"/>
    <w:rsid w:val="0004070A"/>
    <w:rsid w:val="00046C3E"/>
    <w:rsid w:val="00056561"/>
    <w:rsid w:val="00064898"/>
    <w:rsid w:val="0006512C"/>
    <w:rsid w:val="00065E25"/>
    <w:rsid w:val="0006710C"/>
    <w:rsid w:val="000706B0"/>
    <w:rsid w:val="00073BED"/>
    <w:rsid w:val="00074FE7"/>
    <w:rsid w:val="0008137B"/>
    <w:rsid w:val="000815B5"/>
    <w:rsid w:val="00086DF8"/>
    <w:rsid w:val="000949C8"/>
    <w:rsid w:val="000A612A"/>
    <w:rsid w:val="000B74EA"/>
    <w:rsid w:val="000C0E53"/>
    <w:rsid w:val="000C7BDE"/>
    <w:rsid w:val="000D6F63"/>
    <w:rsid w:val="000E1B74"/>
    <w:rsid w:val="000E33EE"/>
    <w:rsid w:val="000E7657"/>
    <w:rsid w:val="000E7FC5"/>
    <w:rsid w:val="000F29C0"/>
    <w:rsid w:val="000F515E"/>
    <w:rsid w:val="00100228"/>
    <w:rsid w:val="00111D11"/>
    <w:rsid w:val="00111E59"/>
    <w:rsid w:val="00112ECE"/>
    <w:rsid w:val="001141D0"/>
    <w:rsid w:val="001149DA"/>
    <w:rsid w:val="001176E5"/>
    <w:rsid w:val="00117D2D"/>
    <w:rsid w:val="00122B9B"/>
    <w:rsid w:val="0012463E"/>
    <w:rsid w:val="00124F2E"/>
    <w:rsid w:val="001313BA"/>
    <w:rsid w:val="0013222C"/>
    <w:rsid w:val="00135372"/>
    <w:rsid w:val="001407E0"/>
    <w:rsid w:val="0014349A"/>
    <w:rsid w:val="00144AC4"/>
    <w:rsid w:val="00144C8D"/>
    <w:rsid w:val="00146CE6"/>
    <w:rsid w:val="001569B3"/>
    <w:rsid w:val="0016070C"/>
    <w:rsid w:val="00165E7B"/>
    <w:rsid w:val="0017356A"/>
    <w:rsid w:val="001742EC"/>
    <w:rsid w:val="00174C3B"/>
    <w:rsid w:val="001764B9"/>
    <w:rsid w:val="00182A85"/>
    <w:rsid w:val="00183D67"/>
    <w:rsid w:val="001847A4"/>
    <w:rsid w:val="0019395C"/>
    <w:rsid w:val="00196615"/>
    <w:rsid w:val="00196961"/>
    <w:rsid w:val="001A00CF"/>
    <w:rsid w:val="001A03FF"/>
    <w:rsid w:val="001A7F0F"/>
    <w:rsid w:val="001B532E"/>
    <w:rsid w:val="001C2F60"/>
    <w:rsid w:val="001C74BF"/>
    <w:rsid w:val="001D155E"/>
    <w:rsid w:val="001D3030"/>
    <w:rsid w:val="001D41D2"/>
    <w:rsid w:val="001D476E"/>
    <w:rsid w:val="001D6516"/>
    <w:rsid w:val="001E2C3C"/>
    <w:rsid w:val="001F23EA"/>
    <w:rsid w:val="00200872"/>
    <w:rsid w:val="002026AD"/>
    <w:rsid w:val="002035C5"/>
    <w:rsid w:val="00211A74"/>
    <w:rsid w:val="00213EA3"/>
    <w:rsid w:val="00214971"/>
    <w:rsid w:val="00216BB8"/>
    <w:rsid w:val="00225828"/>
    <w:rsid w:val="00226389"/>
    <w:rsid w:val="0023085B"/>
    <w:rsid w:val="00233122"/>
    <w:rsid w:val="002429CF"/>
    <w:rsid w:val="0024405A"/>
    <w:rsid w:val="00253C0E"/>
    <w:rsid w:val="002612C5"/>
    <w:rsid w:val="00263CC8"/>
    <w:rsid w:val="00273C3D"/>
    <w:rsid w:val="0027542E"/>
    <w:rsid w:val="00283653"/>
    <w:rsid w:val="00284554"/>
    <w:rsid w:val="00286CB9"/>
    <w:rsid w:val="00295182"/>
    <w:rsid w:val="00295211"/>
    <w:rsid w:val="002961A2"/>
    <w:rsid w:val="002A5786"/>
    <w:rsid w:val="002B55D2"/>
    <w:rsid w:val="002C0B07"/>
    <w:rsid w:val="002C19BD"/>
    <w:rsid w:val="002C3587"/>
    <w:rsid w:val="002C3E6D"/>
    <w:rsid w:val="002C4C12"/>
    <w:rsid w:val="002C60F8"/>
    <w:rsid w:val="002C78A0"/>
    <w:rsid w:val="002D5221"/>
    <w:rsid w:val="002E1BE9"/>
    <w:rsid w:val="002E747C"/>
    <w:rsid w:val="002F1888"/>
    <w:rsid w:val="002F3B15"/>
    <w:rsid w:val="002F796B"/>
    <w:rsid w:val="00302EDE"/>
    <w:rsid w:val="00304A54"/>
    <w:rsid w:val="00304BA9"/>
    <w:rsid w:val="00305166"/>
    <w:rsid w:val="0031042E"/>
    <w:rsid w:val="00310508"/>
    <w:rsid w:val="00325325"/>
    <w:rsid w:val="00325562"/>
    <w:rsid w:val="00334747"/>
    <w:rsid w:val="00335AF0"/>
    <w:rsid w:val="00336E0D"/>
    <w:rsid w:val="00337D6F"/>
    <w:rsid w:val="00342C85"/>
    <w:rsid w:val="00350DE7"/>
    <w:rsid w:val="0035124A"/>
    <w:rsid w:val="00354AFC"/>
    <w:rsid w:val="00361C67"/>
    <w:rsid w:val="0037517E"/>
    <w:rsid w:val="003779DB"/>
    <w:rsid w:val="00384E01"/>
    <w:rsid w:val="00385B9B"/>
    <w:rsid w:val="00393E4D"/>
    <w:rsid w:val="003A1019"/>
    <w:rsid w:val="003A2456"/>
    <w:rsid w:val="003A7469"/>
    <w:rsid w:val="003B687F"/>
    <w:rsid w:val="003C19EB"/>
    <w:rsid w:val="003C6623"/>
    <w:rsid w:val="003C679D"/>
    <w:rsid w:val="003C7B23"/>
    <w:rsid w:val="003D19AD"/>
    <w:rsid w:val="003D203D"/>
    <w:rsid w:val="003E2FB7"/>
    <w:rsid w:val="003F192A"/>
    <w:rsid w:val="003F4EA2"/>
    <w:rsid w:val="003F5DB0"/>
    <w:rsid w:val="00400D62"/>
    <w:rsid w:val="00403876"/>
    <w:rsid w:val="00413A3E"/>
    <w:rsid w:val="004151FF"/>
    <w:rsid w:val="00421731"/>
    <w:rsid w:val="00421FD7"/>
    <w:rsid w:val="004224AB"/>
    <w:rsid w:val="00423189"/>
    <w:rsid w:val="004446F6"/>
    <w:rsid w:val="00444856"/>
    <w:rsid w:val="00445D1B"/>
    <w:rsid w:val="00445FFA"/>
    <w:rsid w:val="004545A8"/>
    <w:rsid w:val="00456BAE"/>
    <w:rsid w:val="00456E37"/>
    <w:rsid w:val="00456F32"/>
    <w:rsid w:val="00460B32"/>
    <w:rsid w:val="00464C84"/>
    <w:rsid w:val="00471412"/>
    <w:rsid w:val="00475BD0"/>
    <w:rsid w:val="004A2A83"/>
    <w:rsid w:val="004A7105"/>
    <w:rsid w:val="004A77E6"/>
    <w:rsid w:val="004A7D76"/>
    <w:rsid w:val="004B189C"/>
    <w:rsid w:val="004B1DC5"/>
    <w:rsid w:val="004B725E"/>
    <w:rsid w:val="004B72B9"/>
    <w:rsid w:val="004C3FD3"/>
    <w:rsid w:val="004C4A6B"/>
    <w:rsid w:val="004D36C8"/>
    <w:rsid w:val="004E797E"/>
    <w:rsid w:val="004F0813"/>
    <w:rsid w:val="004F1AAF"/>
    <w:rsid w:val="004F48E1"/>
    <w:rsid w:val="005019CC"/>
    <w:rsid w:val="00515373"/>
    <w:rsid w:val="00516078"/>
    <w:rsid w:val="0051623D"/>
    <w:rsid w:val="0052368C"/>
    <w:rsid w:val="00526E6B"/>
    <w:rsid w:val="00527C18"/>
    <w:rsid w:val="0053150C"/>
    <w:rsid w:val="005316CD"/>
    <w:rsid w:val="005465CE"/>
    <w:rsid w:val="00551F16"/>
    <w:rsid w:val="005543B3"/>
    <w:rsid w:val="00560B54"/>
    <w:rsid w:val="00562BFC"/>
    <w:rsid w:val="00566144"/>
    <w:rsid w:val="00566496"/>
    <w:rsid w:val="00582BC9"/>
    <w:rsid w:val="00595D75"/>
    <w:rsid w:val="005A3AEF"/>
    <w:rsid w:val="005B397F"/>
    <w:rsid w:val="005B4DC3"/>
    <w:rsid w:val="005C2997"/>
    <w:rsid w:val="005D11D8"/>
    <w:rsid w:val="005D530D"/>
    <w:rsid w:val="005E56CC"/>
    <w:rsid w:val="005F02D8"/>
    <w:rsid w:val="005F4797"/>
    <w:rsid w:val="00607A2E"/>
    <w:rsid w:val="00613FBA"/>
    <w:rsid w:val="0061646D"/>
    <w:rsid w:val="00617FC4"/>
    <w:rsid w:val="0063000A"/>
    <w:rsid w:val="006302C0"/>
    <w:rsid w:val="00646209"/>
    <w:rsid w:val="006471A1"/>
    <w:rsid w:val="00647FBD"/>
    <w:rsid w:val="006515A9"/>
    <w:rsid w:val="006547DA"/>
    <w:rsid w:val="00661004"/>
    <w:rsid w:val="006664E5"/>
    <w:rsid w:val="00672730"/>
    <w:rsid w:val="006806B4"/>
    <w:rsid w:val="00684564"/>
    <w:rsid w:val="00685291"/>
    <w:rsid w:val="0069261A"/>
    <w:rsid w:val="00692C66"/>
    <w:rsid w:val="006954DB"/>
    <w:rsid w:val="006958A9"/>
    <w:rsid w:val="006A0E73"/>
    <w:rsid w:val="006A1D58"/>
    <w:rsid w:val="006A496B"/>
    <w:rsid w:val="006B3386"/>
    <w:rsid w:val="006B5121"/>
    <w:rsid w:val="006B6222"/>
    <w:rsid w:val="006C13DF"/>
    <w:rsid w:val="006C264E"/>
    <w:rsid w:val="006C2913"/>
    <w:rsid w:val="006C5426"/>
    <w:rsid w:val="006D14DB"/>
    <w:rsid w:val="006D4F29"/>
    <w:rsid w:val="006E1E4D"/>
    <w:rsid w:val="006E2904"/>
    <w:rsid w:val="006E3BAB"/>
    <w:rsid w:val="006E4A09"/>
    <w:rsid w:val="006E5772"/>
    <w:rsid w:val="006E694E"/>
    <w:rsid w:val="006F106B"/>
    <w:rsid w:val="006F3D92"/>
    <w:rsid w:val="006F5AC6"/>
    <w:rsid w:val="006F77D1"/>
    <w:rsid w:val="00700890"/>
    <w:rsid w:val="00704873"/>
    <w:rsid w:val="00706851"/>
    <w:rsid w:val="0071155C"/>
    <w:rsid w:val="007230D2"/>
    <w:rsid w:val="0073050C"/>
    <w:rsid w:val="007333E3"/>
    <w:rsid w:val="00740ABD"/>
    <w:rsid w:val="00747AE2"/>
    <w:rsid w:val="0076525F"/>
    <w:rsid w:val="007701E0"/>
    <w:rsid w:val="0077241A"/>
    <w:rsid w:val="00796E05"/>
    <w:rsid w:val="007A4AD5"/>
    <w:rsid w:val="007E43CF"/>
    <w:rsid w:val="007F1DAE"/>
    <w:rsid w:val="00801F0A"/>
    <w:rsid w:val="0080684D"/>
    <w:rsid w:val="00812508"/>
    <w:rsid w:val="00826EDC"/>
    <w:rsid w:val="00827BD3"/>
    <w:rsid w:val="008300A2"/>
    <w:rsid w:val="0083193F"/>
    <w:rsid w:val="00832530"/>
    <w:rsid w:val="008459D7"/>
    <w:rsid w:val="008507F7"/>
    <w:rsid w:val="0085547B"/>
    <w:rsid w:val="0085614E"/>
    <w:rsid w:val="00861C2B"/>
    <w:rsid w:val="0086277C"/>
    <w:rsid w:val="00873EE0"/>
    <w:rsid w:val="008750DE"/>
    <w:rsid w:val="008752B7"/>
    <w:rsid w:val="0088276B"/>
    <w:rsid w:val="00890928"/>
    <w:rsid w:val="00891A90"/>
    <w:rsid w:val="008945A6"/>
    <w:rsid w:val="008B161C"/>
    <w:rsid w:val="008B2B48"/>
    <w:rsid w:val="008C30E1"/>
    <w:rsid w:val="008D613A"/>
    <w:rsid w:val="008D79B3"/>
    <w:rsid w:val="008E6525"/>
    <w:rsid w:val="008F3D13"/>
    <w:rsid w:val="008F452D"/>
    <w:rsid w:val="008F6A61"/>
    <w:rsid w:val="009104BD"/>
    <w:rsid w:val="00911C18"/>
    <w:rsid w:val="00914C1D"/>
    <w:rsid w:val="00915BE3"/>
    <w:rsid w:val="00916B3D"/>
    <w:rsid w:val="00916D4A"/>
    <w:rsid w:val="00927A2A"/>
    <w:rsid w:val="00931A5B"/>
    <w:rsid w:val="00934D0B"/>
    <w:rsid w:val="00941E72"/>
    <w:rsid w:val="009526E0"/>
    <w:rsid w:val="00952AB7"/>
    <w:rsid w:val="0095453F"/>
    <w:rsid w:val="00955352"/>
    <w:rsid w:val="00957999"/>
    <w:rsid w:val="00963208"/>
    <w:rsid w:val="00965806"/>
    <w:rsid w:val="0097704E"/>
    <w:rsid w:val="00994CF9"/>
    <w:rsid w:val="009A5A6E"/>
    <w:rsid w:val="009A6F2C"/>
    <w:rsid w:val="009B0081"/>
    <w:rsid w:val="009B0FA8"/>
    <w:rsid w:val="009B3774"/>
    <w:rsid w:val="009C0FCD"/>
    <w:rsid w:val="009C1D84"/>
    <w:rsid w:val="009C20D6"/>
    <w:rsid w:val="009C299A"/>
    <w:rsid w:val="009C3497"/>
    <w:rsid w:val="009C4D09"/>
    <w:rsid w:val="009D3639"/>
    <w:rsid w:val="009E002F"/>
    <w:rsid w:val="009F24AE"/>
    <w:rsid w:val="00A023B8"/>
    <w:rsid w:val="00A0495D"/>
    <w:rsid w:val="00A128EB"/>
    <w:rsid w:val="00A13AA6"/>
    <w:rsid w:val="00A23F0C"/>
    <w:rsid w:val="00A24446"/>
    <w:rsid w:val="00A35CA2"/>
    <w:rsid w:val="00A41F3C"/>
    <w:rsid w:val="00A422FC"/>
    <w:rsid w:val="00A42B76"/>
    <w:rsid w:val="00A436E0"/>
    <w:rsid w:val="00A4398E"/>
    <w:rsid w:val="00A43B9F"/>
    <w:rsid w:val="00A51FF9"/>
    <w:rsid w:val="00A56EAE"/>
    <w:rsid w:val="00A75008"/>
    <w:rsid w:val="00A7711E"/>
    <w:rsid w:val="00A84F77"/>
    <w:rsid w:val="00A86616"/>
    <w:rsid w:val="00A87C80"/>
    <w:rsid w:val="00A916F9"/>
    <w:rsid w:val="00AA1873"/>
    <w:rsid w:val="00AA5CE5"/>
    <w:rsid w:val="00AA7D7E"/>
    <w:rsid w:val="00AC274B"/>
    <w:rsid w:val="00AD1841"/>
    <w:rsid w:val="00AE56A5"/>
    <w:rsid w:val="00AF6BF7"/>
    <w:rsid w:val="00AF7033"/>
    <w:rsid w:val="00B00DB3"/>
    <w:rsid w:val="00B102CB"/>
    <w:rsid w:val="00B117A0"/>
    <w:rsid w:val="00B1743F"/>
    <w:rsid w:val="00B17712"/>
    <w:rsid w:val="00B231F7"/>
    <w:rsid w:val="00B23492"/>
    <w:rsid w:val="00B23899"/>
    <w:rsid w:val="00B26051"/>
    <w:rsid w:val="00B433DD"/>
    <w:rsid w:val="00B500B8"/>
    <w:rsid w:val="00B53BC7"/>
    <w:rsid w:val="00B60250"/>
    <w:rsid w:val="00B67A60"/>
    <w:rsid w:val="00B70565"/>
    <w:rsid w:val="00B7176E"/>
    <w:rsid w:val="00B719F5"/>
    <w:rsid w:val="00B71B8A"/>
    <w:rsid w:val="00B75963"/>
    <w:rsid w:val="00B7789D"/>
    <w:rsid w:val="00B807C7"/>
    <w:rsid w:val="00B87191"/>
    <w:rsid w:val="00B941B9"/>
    <w:rsid w:val="00BC126C"/>
    <w:rsid w:val="00BD6065"/>
    <w:rsid w:val="00BE3C60"/>
    <w:rsid w:val="00BE5655"/>
    <w:rsid w:val="00BF0156"/>
    <w:rsid w:val="00BF4279"/>
    <w:rsid w:val="00BF5793"/>
    <w:rsid w:val="00C01C28"/>
    <w:rsid w:val="00C03B55"/>
    <w:rsid w:val="00C05C42"/>
    <w:rsid w:val="00C0671D"/>
    <w:rsid w:val="00C14333"/>
    <w:rsid w:val="00C20D53"/>
    <w:rsid w:val="00C22A0B"/>
    <w:rsid w:val="00C339A8"/>
    <w:rsid w:val="00C52618"/>
    <w:rsid w:val="00C53E68"/>
    <w:rsid w:val="00C5470C"/>
    <w:rsid w:val="00C55CFF"/>
    <w:rsid w:val="00C56681"/>
    <w:rsid w:val="00C607FB"/>
    <w:rsid w:val="00C615FA"/>
    <w:rsid w:val="00C7579C"/>
    <w:rsid w:val="00C84E7E"/>
    <w:rsid w:val="00C90152"/>
    <w:rsid w:val="00C96145"/>
    <w:rsid w:val="00CA1D89"/>
    <w:rsid w:val="00CA39C0"/>
    <w:rsid w:val="00CA3B86"/>
    <w:rsid w:val="00CB0EA4"/>
    <w:rsid w:val="00CB2ABD"/>
    <w:rsid w:val="00CB3FD0"/>
    <w:rsid w:val="00CB480C"/>
    <w:rsid w:val="00CB5A4F"/>
    <w:rsid w:val="00CB76A3"/>
    <w:rsid w:val="00CC07D2"/>
    <w:rsid w:val="00CC6740"/>
    <w:rsid w:val="00CC76A6"/>
    <w:rsid w:val="00CD1BE9"/>
    <w:rsid w:val="00CD24AB"/>
    <w:rsid w:val="00CD7220"/>
    <w:rsid w:val="00CE2193"/>
    <w:rsid w:val="00CE265F"/>
    <w:rsid w:val="00CE5E61"/>
    <w:rsid w:val="00CF55C9"/>
    <w:rsid w:val="00CF5B01"/>
    <w:rsid w:val="00D01AF7"/>
    <w:rsid w:val="00D041C6"/>
    <w:rsid w:val="00D06B02"/>
    <w:rsid w:val="00D1491A"/>
    <w:rsid w:val="00D15B20"/>
    <w:rsid w:val="00D17138"/>
    <w:rsid w:val="00D21F2D"/>
    <w:rsid w:val="00D30C5A"/>
    <w:rsid w:val="00D367DD"/>
    <w:rsid w:val="00D41524"/>
    <w:rsid w:val="00D53C90"/>
    <w:rsid w:val="00D60D5D"/>
    <w:rsid w:val="00D620E7"/>
    <w:rsid w:val="00D63540"/>
    <w:rsid w:val="00D63EB7"/>
    <w:rsid w:val="00D673CC"/>
    <w:rsid w:val="00D7004F"/>
    <w:rsid w:val="00D7296E"/>
    <w:rsid w:val="00D733CF"/>
    <w:rsid w:val="00D739B9"/>
    <w:rsid w:val="00D86411"/>
    <w:rsid w:val="00D921A9"/>
    <w:rsid w:val="00D930D6"/>
    <w:rsid w:val="00D97F30"/>
    <w:rsid w:val="00DA6AC4"/>
    <w:rsid w:val="00DB7D50"/>
    <w:rsid w:val="00DD025B"/>
    <w:rsid w:val="00DD46B8"/>
    <w:rsid w:val="00DD7477"/>
    <w:rsid w:val="00DD7C2B"/>
    <w:rsid w:val="00DE2031"/>
    <w:rsid w:val="00DF09EF"/>
    <w:rsid w:val="00DF7D73"/>
    <w:rsid w:val="00E12846"/>
    <w:rsid w:val="00E12A00"/>
    <w:rsid w:val="00E230DC"/>
    <w:rsid w:val="00E23C9F"/>
    <w:rsid w:val="00E336F4"/>
    <w:rsid w:val="00E42681"/>
    <w:rsid w:val="00E431D1"/>
    <w:rsid w:val="00E739C7"/>
    <w:rsid w:val="00E947AA"/>
    <w:rsid w:val="00EA1814"/>
    <w:rsid w:val="00EA7B65"/>
    <w:rsid w:val="00EB2426"/>
    <w:rsid w:val="00EB6C22"/>
    <w:rsid w:val="00EB7FDB"/>
    <w:rsid w:val="00ED7051"/>
    <w:rsid w:val="00EE1E6E"/>
    <w:rsid w:val="00EE4F2A"/>
    <w:rsid w:val="00EF2009"/>
    <w:rsid w:val="00EF3E28"/>
    <w:rsid w:val="00EF6902"/>
    <w:rsid w:val="00EF6A90"/>
    <w:rsid w:val="00F036D9"/>
    <w:rsid w:val="00F04BA1"/>
    <w:rsid w:val="00F0733E"/>
    <w:rsid w:val="00F20C64"/>
    <w:rsid w:val="00F23AEB"/>
    <w:rsid w:val="00F26F6F"/>
    <w:rsid w:val="00F402E8"/>
    <w:rsid w:val="00F43C78"/>
    <w:rsid w:val="00F47AF2"/>
    <w:rsid w:val="00F52DAB"/>
    <w:rsid w:val="00F5769B"/>
    <w:rsid w:val="00F6004F"/>
    <w:rsid w:val="00F606F0"/>
    <w:rsid w:val="00F64AB1"/>
    <w:rsid w:val="00F77933"/>
    <w:rsid w:val="00F822EA"/>
    <w:rsid w:val="00F935D1"/>
    <w:rsid w:val="00F9780F"/>
    <w:rsid w:val="00FA0094"/>
    <w:rsid w:val="00FA0699"/>
    <w:rsid w:val="00FA13DD"/>
    <w:rsid w:val="00FB6801"/>
    <w:rsid w:val="00FC69BC"/>
    <w:rsid w:val="00FD2157"/>
    <w:rsid w:val="00FD4CA1"/>
    <w:rsid w:val="00FD5725"/>
    <w:rsid w:val="00FD6DED"/>
    <w:rsid w:val="00FE1588"/>
    <w:rsid w:val="00FE445A"/>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B65CD68E-EDAB-477D-876D-C65BA65C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5772"/>
    <w:pPr>
      <w:spacing w:after="120"/>
      <w:jc w:val="both"/>
    </w:pPr>
    <w:rPr>
      <w:rFonts w:ascii="Times New Roman" w:eastAsiaTheme="minorEastAsia" w:hAnsi="Times New Roman" w:cs="Times New Roman"/>
      <w:lang w:eastAsia="ja-JP"/>
    </w:rPr>
  </w:style>
  <w:style w:type="paragraph" w:styleId="Heading1">
    <w:name w:val="heading 1"/>
    <w:basedOn w:val="Normal"/>
    <w:next w:val="Normal"/>
    <w:link w:val="Heading1Char"/>
    <w:uiPriority w:val="9"/>
    <w:qFormat/>
    <w:rsid w:val="006E5772"/>
    <w:pPr>
      <w:keepNext/>
      <w:keepLines/>
      <w:pBdr>
        <w:bottom w:val="single" w:sz="4" w:space="1" w:color="595959" w:themeColor="text1" w:themeTint="A6"/>
      </w:pBdr>
      <w:spacing w:before="360"/>
      <w:ind w:left="432" w:hanging="432"/>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autoRedefine/>
    <w:uiPriority w:val="10"/>
    <w:qFormat/>
    <w:rsid w:val="00890928"/>
    <w:pPr>
      <w:spacing w:after="0"/>
      <w:contextualSpacing/>
      <w:jc w:val="center"/>
    </w:pPr>
    <w:rPr>
      <w:rFonts w:ascii="Palatino Linotype" w:eastAsiaTheme="majorEastAsia" w:hAnsi="Palatino Linotype" w:cstheme="majorBidi"/>
      <w:sz w:val="56"/>
      <w:szCs w:val="56"/>
    </w:rPr>
  </w:style>
  <w:style w:type="character" w:customStyle="1" w:styleId="TitleChar">
    <w:name w:val="Title Char"/>
    <w:basedOn w:val="DefaultParagraphFont"/>
    <w:link w:val="Title"/>
    <w:uiPriority w:val="10"/>
    <w:rsid w:val="00890928"/>
    <w:rPr>
      <w:rFonts w:ascii="Palatino Linotype" w:eastAsiaTheme="majorEastAsia" w:hAnsi="Palatino Linotype" w:cstheme="majorBidi"/>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6E5772"/>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ind w:left="720"/>
      <w:contextualSpacing/>
    </w:pPr>
    <w:rPr>
      <w:lang w:eastAsia="en-US"/>
    </w:rPr>
  </w:style>
  <w:style w:type="paragraph" w:styleId="Subtitle">
    <w:name w:val="Subtitle"/>
    <w:basedOn w:val="Normal"/>
    <w:next w:val="Normal"/>
    <w:link w:val="SubtitleChar"/>
    <w:uiPriority w:val="11"/>
    <w:qFormat/>
    <w:rsid w:val="006E5772"/>
    <w:pPr>
      <w:numPr>
        <w:ilvl w:val="1"/>
      </w:numPr>
      <w:spacing w:after="160"/>
      <w:jc w:val="center"/>
    </w:pPr>
    <w:rPr>
      <w:rFonts w:asciiTheme="majorHAnsi" w:hAnsiTheme="majorHAnsi" w:cstheme="minorBidi"/>
      <w:spacing w:val="15"/>
      <w:sz w:val="36"/>
      <w:szCs w:val="22"/>
    </w:rPr>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3C679D"/>
    <w:rPr>
      <w:color w:val="954F72" w:themeColor="followedHyperlink"/>
      <w:u w:val="single"/>
    </w:rPr>
  </w:style>
  <w:style w:type="paragraph" w:styleId="NormalWeb">
    <w:name w:val="Normal (Web)"/>
    <w:basedOn w:val="Normal"/>
    <w:uiPriority w:val="99"/>
    <w:semiHidden/>
    <w:unhideWhenUsed/>
    <w:rsid w:val="005F4797"/>
    <w:pPr>
      <w:spacing w:before="100" w:beforeAutospacing="1" w:after="100" w:afterAutospacing="1"/>
    </w:pPr>
    <w:rPr>
      <w:rFonts w:eastAsiaTheme="minorHAnsi"/>
      <w:lang w:eastAsia="en-US"/>
    </w:rPr>
  </w:style>
  <w:style w:type="paragraph" w:styleId="Revision">
    <w:name w:val="Revision"/>
    <w:hidden/>
    <w:uiPriority w:val="99"/>
    <w:semiHidden/>
    <w:rsid w:val="004D36C8"/>
    <w:rPr>
      <w:rFonts w:eastAsiaTheme="minorEastAsia"/>
      <w:sz w:val="22"/>
      <w:szCs w:val="22"/>
      <w:lang w:eastAsia="ja-JP"/>
    </w:rPr>
  </w:style>
  <w:style w:type="character" w:styleId="CommentReference">
    <w:name w:val="annotation reference"/>
    <w:basedOn w:val="DefaultParagraphFont"/>
    <w:uiPriority w:val="99"/>
    <w:semiHidden/>
    <w:unhideWhenUsed/>
    <w:rsid w:val="00EE4F2A"/>
    <w:rPr>
      <w:sz w:val="16"/>
      <w:szCs w:val="16"/>
    </w:rPr>
  </w:style>
  <w:style w:type="paragraph" w:styleId="CommentText">
    <w:name w:val="annotation text"/>
    <w:basedOn w:val="Normal"/>
    <w:link w:val="CommentTextChar"/>
    <w:uiPriority w:val="99"/>
    <w:semiHidden/>
    <w:unhideWhenUsed/>
    <w:rsid w:val="00EE4F2A"/>
    <w:rPr>
      <w:sz w:val="20"/>
      <w:szCs w:val="20"/>
    </w:rPr>
  </w:style>
  <w:style w:type="character" w:customStyle="1" w:styleId="CommentTextChar">
    <w:name w:val="Comment Text Char"/>
    <w:basedOn w:val="DefaultParagraphFont"/>
    <w:link w:val="CommentText"/>
    <w:uiPriority w:val="99"/>
    <w:semiHidden/>
    <w:rsid w:val="00EE4F2A"/>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EE4F2A"/>
    <w:rPr>
      <w:b/>
      <w:bCs/>
    </w:rPr>
  </w:style>
  <w:style w:type="character" w:customStyle="1" w:styleId="CommentSubjectChar">
    <w:name w:val="Comment Subject Char"/>
    <w:basedOn w:val="CommentTextChar"/>
    <w:link w:val="CommentSubject"/>
    <w:uiPriority w:val="99"/>
    <w:semiHidden/>
    <w:rsid w:val="00EE4F2A"/>
    <w:rPr>
      <w:rFonts w:eastAsiaTheme="minorEastAsia"/>
      <w:b/>
      <w:bCs/>
      <w:sz w:val="20"/>
      <w:szCs w:val="20"/>
      <w:lang w:eastAsia="ja-JP"/>
    </w:rPr>
  </w:style>
  <w:style w:type="paragraph" w:styleId="NoSpacing">
    <w:name w:val="No Spacing"/>
    <w:uiPriority w:val="1"/>
    <w:qFormat/>
    <w:rsid w:val="001A03FF"/>
    <w:rPr>
      <w:rFonts w:eastAsiaTheme="minorEastAsia"/>
      <w:sz w:val="22"/>
      <w:szCs w:val="22"/>
      <w:lang w:eastAsia="ja-JP"/>
    </w:rPr>
  </w:style>
  <w:style w:type="character" w:customStyle="1" w:styleId="SubtitleChar">
    <w:name w:val="Subtitle Char"/>
    <w:basedOn w:val="DefaultParagraphFont"/>
    <w:link w:val="Subtitle"/>
    <w:uiPriority w:val="11"/>
    <w:rsid w:val="006E5772"/>
    <w:rPr>
      <w:rFonts w:asciiTheme="majorHAnsi" w:eastAsiaTheme="minorEastAsia" w:hAnsiTheme="majorHAnsi"/>
      <w:spacing w:val="15"/>
      <w:sz w:val="3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2332">
      <w:bodyDiv w:val="1"/>
      <w:marLeft w:val="0"/>
      <w:marRight w:val="0"/>
      <w:marTop w:val="0"/>
      <w:marBottom w:val="0"/>
      <w:divBdr>
        <w:top w:val="none" w:sz="0" w:space="0" w:color="auto"/>
        <w:left w:val="none" w:sz="0" w:space="0" w:color="auto"/>
        <w:bottom w:val="none" w:sz="0" w:space="0" w:color="auto"/>
        <w:right w:val="none" w:sz="0" w:space="0" w:color="auto"/>
      </w:divBdr>
      <w:divsChild>
        <w:div w:id="1434398273">
          <w:marLeft w:val="0"/>
          <w:marRight w:val="0"/>
          <w:marTop w:val="0"/>
          <w:marBottom w:val="0"/>
          <w:divBdr>
            <w:top w:val="none" w:sz="0" w:space="0" w:color="auto"/>
            <w:left w:val="none" w:sz="0" w:space="0" w:color="auto"/>
            <w:bottom w:val="none" w:sz="0" w:space="0" w:color="auto"/>
            <w:right w:val="none" w:sz="0" w:space="0" w:color="auto"/>
          </w:divBdr>
        </w:div>
        <w:div w:id="2111314969">
          <w:marLeft w:val="0"/>
          <w:marRight w:val="0"/>
          <w:marTop w:val="0"/>
          <w:marBottom w:val="150"/>
          <w:divBdr>
            <w:top w:val="none" w:sz="0" w:space="0" w:color="auto"/>
            <w:left w:val="none" w:sz="0" w:space="0" w:color="auto"/>
            <w:bottom w:val="none" w:sz="0" w:space="0" w:color="auto"/>
            <w:right w:val="none" w:sz="0" w:space="0" w:color="auto"/>
          </w:divBdr>
        </w:div>
        <w:div w:id="2030402627">
          <w:marLeft w:val="0"/>
          <w:marRight w:val="0"/>
          <w:marTop w:val="0"/>
          <w:marBottom w:val="0"/>
          <w:divBdr>
            <w:top w:val="none" w:sz="0" w:space="0" w:color="auto"/>
            <w:left w:val="none" w:sz="0" w:space="0" w:color="auto"/>
            <w:bottom w:val="none" w:sz="0" w:space="0" w:color="auto"/>
            <w:right w:val="none" w:sz="0" w:space="0" w:color="auto"/>
          </w:divBdr>
        </w:div>
        <w:div w:id="1331713400">
          <w:marLeft w:val="0"/>
          <w:marRight w:val="0"/>
          <w:marTop w:val="0"/>
          <w:marBottom w:val="150"/>
          <w:divBdr>
            <w:top w:val="none" w:sz="0" w:space="0" w:color="auto"/>
            <w:left w:val="none" w:sz="0" w:space="0" w:color="auto"/>
            <w:bottom w:val="none" w:sz="0" w:space="0" w:color="auto"/>
            <w:right w:val="none" w:sz="0" w:space="0" w:color="auto"/>
          </w:divBdr>
        </w:div>
        <w:div w:id="1832868461">
          <w:marLeft w:val="0"/>
          <w:marRight w:val="0"/>
          <w:marTop w:val="0"/>
          <w:marBottom w:val="0"/>
          <w:divBdr>
            <w:top w:val="none" w:sz="0" w:space="0" w:color="auto"/>
            <w:left w:val="none" w:sz="0" w:space="0" w:color="auto"/>
            <w:bottom w:val="none" w:sz="0" w:space="0" w:color="auto"/>
            <w:right w:val="none" w:sz="0" w:space="0" w:color="auto"/>
          </w:divBdr>
        </w:div>
        <w:div w:id="858617369">
          <w:marLeft w:val="0"/>
          <w:marRight w:val="0"/>
          <w:marTop w:val="0"/>
          <w:marBottom w:val="150"/>
          <w:divBdr>
            <w:top w:val="none" w:sz="0" w:space="0" w:color="auto"/>
            <w:left w:val="none" w:sz="0" w:space="0" w:color="auto"/>
            <w:bottom w:val="none" w:sz="0" w:space="0" w:color="auto"/>
            <w:right w:val="none" w:sz="0" w:space="0" w:color="auto"/>
          </w:divBdr>
        </w:div>
        <w:div w:id="1070694264">
          <w:marLeft w:val="0"/>
          <w:marRight w:val="0"/>
          <w:marTop w:val="0"/>
          <w:marBottom w:val="0"/>
          <w:divBdr>
            <w:top w:val="none" w:sz="0" w:space="0" w:color="auto"/>
            <w:left w:val="none" w:sz="0" w:space="0" w:color="auto"/>
            <w:bottom w:val="none" w:sz="0" w:space="0" w:color="auto"/>
            <w:right w:val="none" w:sz="0" w:space="0" w:color="auto"/>
          </w:divBdr>
        </w:div>
        <w:div w:id="1252616999">
          <w:marLeft w:val="0"/>
          <w:marRight w:val="0"/>
          <w:marTop w:val="0"/>
          <w:marBottom w:val="150"/>
          <w:divBdr>
            <w:top w:val="none" w:sz="0" w:space="0" w:color="auto"/>
            <w:left w:val="none" w:sz="0" w:space="0" w:color="auto"/>
            <w:bottom w:val="none" w:sz="0" w:space="0" w:color="auto"/>
            <w:right w:val="none" w:sz="0" w:space="0" w:color="auto"/>
          </w:divBdr>
        </w:div>
        <w:div w:id="1444568447">
          <w:marLeft w:val="0"/>
          <w:marRight w:val="0"/>
          <w:marTop w:val="0"/>
          <w:marBottom w:val="0"/>
          <w:divBdr>
            <w:top w:val="none" w:sz="0" w:space="0" w:color="auto"/>
            <w:left w:val="none" w:sz="0" w:space="0" w:color="auto"/>
            <w:bottom w:val="none" w:sz="0" w:space="0" w:color="auto"/>
            <w:right w:val="none" w:sz="0" w:space="0" w:color="auto"/>
          </w:divBdr>
        </w:div>
        <w:div w:id="1946572190">
          <w:marLeft w:val="0"/>
          <w:marRight w:val="0"/>
          <w:marTop w:val="0"/>
          <w:marBottom w:val="150"/>
          <w:divBdr>
            <w:top w:val="none" w:sz="0" w:space="0" w:color="auto"/>
            <w:left w:val="none" w:sz="0" w:space="0" w:color="auto"/>
            <w:bottom w:val="none" w:sz="0" w:space="0" w:color="auto"/>
            <w:right w:val="none" w:sz="0" w:space="0" w:color="auto"/>
          </w:divBdr>
        </w:div>
        <w:div w:id="833298120">
          <w:marLeft w:val="0"/>
          <w:marRight w:val="0"/>
          <w:marTop w:val="0"/>
          <w:marBottom w:val="0"/>
          <w:divBdr>
            <w:top w:val="none" w:sz="0" w:space="0" w:color="auto"/>
            <w:left w:val="none" w:sz="0" w:space="0" w:color="auto"/>
            <w:bottom w:val="none" w:sz="0" w:space="0" w:color="auto"/>
            <w:right w:val="none" w:sz="0" w:space="0" w:color="auto"/>
          </w:divBdr>
        </w:div>
        <w:div w:id="1946302763">
          <w:marLeft w:val="0"/>
          <w:marRight w:val="0"/>
          <w:marTop w:val="0"/>
          <w:marBottom w:val="150"/>
          <w:divBdr>
            <w:top w:val="none" w:sz="0" w:space="0" w:color="auto"/>
            <w:left w:val="none" w:sz="0" w:space="0" w:color="auto"/>
            <w:bottom w:val="none" w:sz="0" w:space="0" w:color="auto"/>
            <w:right w:val="none" w:sz="0" w:space="0" w:color="auto"/>
          </w:divBdr>
        </w:div>
        <w:div w:id="1293441338">
          <w:marLeft w:val="0"/>
          <w:marRight w:val="0"/>
          <w:marTop w:val="0"/>
          <w:marBottom w:val="0"/>
          <w:divBdr>
            <w:top w:val="none" w:sz="0" w:space="0" w:color="auto"/>
            <w:left w:val="none" w:sz="0" w:space="0" w:color="auto"/>
            <w:bottom w:val="none" w:sz="0" w:space="0" w:color="auto"/>
            <w:right w:val="none" w:sz="0" w:space="0" w:color="auto"/>
          </w:divBdr>
        </w:div>
        <w:div w:id="428475789">
          <w:marLeft w:val="0"/>
          <w:marRight w:val="0"/>
          <w:marTop w:val="0"/>
          <w:marBottom w:val="150"/>
          <w:divBdr>
            <w:top w:val="none" w:sz="0" w:space="0" w:color="auto"/>
            <w:left w:val="none" w:sz="0" w:space="0" w:color="auto"/>
            <w:bottom w:val="none" w:sz="0" w:space="0" w:color="auto"/>
            <w:right w:val="none" w:sz="0" w:space="0" w:color="auto"/>
          </w:divBdr>
        </w:div>
      </w:divsChild>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45126504">
      <w:bodyDiv w:val="1"/>
      <w:marLeft w:val="0"/>
      <w:marRight w:val="0"/>
      <w:marTop w:val="0"/>
      <w:marBottom w:val="0"/>
      <w:divBdr>
        <w:top w:val="none" w:sz="0" w:space="0" w:color="auto"/>
        <w:left w:val="none" w:sz="0" w:space="0" w:color="auto"/>
        <w:bottom w:val="none" w:sz="0" w:space="0" w:color="auto"/>
        <w:right w:val="none" w:sz="0" w:space="0" w:color="auto"/>
      </w:divBdr>
    </w:div>
    <w:div w:id="477458153">
      <w:bodyDiv w:val="1"/>
      <w:marLeft w:val="0"/>
      <w:marRight w:val="0"/>
      <w:marTop w:val="0"/>
      <w:marBottom w:val="0"/>
      <w:divBdr>
        <w:top w:val="none" w:sz="0" w:space="0" w:color="auto"/>
        <w:left w:val="none" w:sz="0" w:space="0" w:color="auto"/>
        <w:bottom w:val="none" w:sz="0" w:space="0" w:color="auto"/>
        <w:right w:val="none" w:sz="0" w:space="0" w:color="auto"/>
      </w:divBdr>
    </w:div>
    <w:div w:id="1674255431">
      <w:bodyDiv w:val="1"/>
      <w:marLeft w:val="0"/>
      <w:marRight w:val="0"/>
      <w:marTop w:val="0"/>
      <w:marBottom w:val="0"/>
      <w:divBdr>
        <w:top w:val="none" w:sz="0" w:space="0" w:color="auto"/>
        <w:left w:val="none" w:sz="0" w:space="0" w:color="auto"/>
        <w:bottom w:val="none" w:sz="0" w:space="0" w:color="auto"/>
        <w:right w:val="none" w:sz="0" w:space="0" w:color="auto"/>
      </w:divBdr>
      <w:divsChild>
        <w:div w:id="1709526523">
          <w:marLeft w:val="0"/>
          <w:marRight w:val="0"/>
          <w:marTop w:val="0"/>
          <w:marBottom w:val="0"/>
          <w:divBdr>
            <w:top w:val="none" w:sz="0" w:space="0" w:color="auto"/>
            <w:left w:val="none" w:sz="0" w:space="0" w:color="auto"/>
            <w:bottom w:val="none" w:sz="0" w:space="0" w:color="auto"/>
            <w:right w:val="none" w:sz="0" w:space="0" w:color="auto"/>
          </w:divBdr>
        </w:div>
        <w:div w:id="725956598">
          <w:marLeft w:val="0"/>
          <w:marRight w:val="0"/>
          <w:marTop w:val="0"/>
          <w:marBottom w:val="0"/>
          <w:divBdr>
            <w:top w:val="none" w:sz="0" w:space="0" w:color="auto"/>
            <w:left w:val="none" w:sz="0" w:space="0" w:color="auto"/>
            <w:bottom w:val="none" w:sz="0" w:space="0" w:color="auto"/>
            <w:right w:val="none" w:sz="0" w:space="0" w:color="auto"/>
          </w:divBdr>
        </w:div>
        <w:div w:id="1910652942">
          <w:marLeft w:val="0"/>
          <w:marRight w:val="0"/>
          <w:marTop w:val="0"/>
          <w:marBottom w:val="0"/>
          <w:divBdr>
            <w:top w:val="none" w:sz="0" w:space="0" w:color="auto"/>
            <w:left w:val="none" w:sz="0" w:space="0" w:color="auto"/>
            <w:bottom w:val="none" w:sz="0" w:space="0" w:color="auto"/>
            <w:right w:val="none" w:sz="0" w:space="0" w:color="auto"/>
          </w:divBdr>
        </w:div>
      </w:divsChild>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46340437">
      <w:bodyDiv w:val="1"/>
      <w:marLeft w:val="0"/>
      <w:marRight w:val="0"/>
      <w:marTop w:val="0"/>
      <w:marBottom w:val="0"/>
      <w:divBdr>
        <w:top w:val="none" w:sz="0" w:space="0" w:color="auto"/>
        <w:left w:val="none" w:sz="0" w:space="0" w:color="auto"/>
        <w:bottom w:val="none" w:sz="0" w:space="0" w:color="auto"/>
        <w:right w:val="none" w:sz="0" w:space="0" w:color="auto"/>
      </w:divBdr>
    </w:div>
    <w:div w:id="207955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edesa.id/id_ID/" TargetMode="External"/><Relationship Id="rId4" Type="http://schemas.openxmlformats.org/officeDocument/2006/relationships/settings" Target="settings.xml"/><Relationship Id="rId9" Type="http://schemas.openxmlformats.org/officeDocument/2006/relationships/hyperlink" Target="http://www.kedesa.i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DFB4FC-0BE4-7749-A6F5-0AE98BDF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4</cp:revision>
  <cp:lastPrinted>2017-11-14T12:33:00Z</cp:lastPrinted>
  <dcterms:created xsi:type="dcterms:W3CDTF">2018-01-19T16:31:00Z</dcterms:created>
  <dcterms:modified xsi:type="dcterms:W3CDTF">2018-02-02T21:45:00Z</dcterms:modified>
</cp:coreProperties>
</file>