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38BFA" w14:textId="72CB30C2" w:rsidR="00E66370" w:rsidRPr="00443720" w:rsidRDefault="00443720" w:rsidP="00443720">
      <w:pPr>
        <w:pStyle w:val="Title"/>
        <w:spacing w:after="0" w:line="240" w:lineRule="auto"/>
        <w:contextualSpacing w:val="0"/>
        <w:jc w:val="center"/>
        <w:rPr>
          <w:rFonts w:ascii="Palatino Linotype" w:eastAsia="Palatino" w:hAnsi="Palatino Linotype" w:cs="Palatino"/>
        </w:rPr>
      </w:pPr>
      <w:r w:rsidRPr="00443720">
        <w:rPr>
          <w:rFonts w:ascii="Palatino Linotype" w:eastAsia="Palatino" w:hAnsi="Palatino Linotype" w:cs="Palatino"/>
        </w:rPr>
        <w:t xml:space="preserve">CENTER FOR INFORMATION AND EDUCATION FOR THE PREVENTION OF DRUG ABUSE </w:t>
      </w:r>
    </w:p>
    <w:p w14:paraId="4AA67D37" w14:textId="6DDB9B19" w:rsidR="00443720" w:rsidRDefault="00443720" w:rsidP="00443720">
      <w:pPr>
        <w:pStyle w:val="Title"/>
        <w:spacing w:after="0" w:line="240" w:lineRule="auto"/>
        <w:contextualSpacing w:val="0"/>
        <w:jc w:val="center"/>
        <w:rPr>
          <w:rFonts w:ascii="Calibri Light" w:hAnsi="Calibri Light"/>
          <w:sz w:val="36"/>
          <w:szCs w:val="36"/>
        </w:rPr>
      </w:pPr>
      <w:r w:rsidRPr="004C6BF4">
        <w:rPr>
          <w:rFonts w:ascii="Calibri Light" w:hAnsi="Calibri Light"/>
          <w:sz w:val="36"/>
          <w:szCs w:val="36"/>
        </w:rPr>
        <w:t xml:space="preserve">PROVIDING FINANCIAL INCLUSION PROGRAM FOR WOMEN </w:t>
      </w:r>
    </w:p>
    <w:p w14:paraId="2170D454" w14:textId="7251F00F" w:rsidR="00D373C4" w:rsidRPr="004C6BF4" w:rsidRDefault="00443720" w:rsidP="0038648D">
      <w:pPr>
        <w:pStyle w:val="Title"/>
        <w:spacing w:after="120" w:line="240" w:lineRule="auto"/>
        <w:contextualSpacing w:val="0"/>
        <w:jc w:val="center"/>
        <w:rPr>
          <w:rFonts w:ascii="Calibri Light" w:hAnsi="Calibri Light"/>
          <w:sz w:val="36"/>
          <w:szCs w:val="36"/>
        </w:rPr>
      </w:pPr>
      <w:r w:rsidRPr="004C6BF4">
        <w:rPr>
          <w:rFonts w:ascii="Calibri Light" w:hAnsi="Calibri Light"/>
          <w:sz w:val="36"/>
          <w:szCs w:val="36"/>
        </w:rPr>
        <w:t>IN PERU</w:t>
      </w:r>
    </w:p>
    <w:p w14:paraId="2090C657" w14:textId="71239681" w:rsidR="00E66370" w:rsidRPr="00443720" w:rsidRDefault="00D373C4" w:rsidP="00443720">
      <w:pPr>
        <w:pStyle w:val="Normal1"/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D4CC9">
        <w:rPr>
          <w:noProof/>
        </w:rPr>
        <w:drawing>
          <wp:inline distT="0" distB="0" distL="0" distR="0" wp14:anchorId="5A21B63C" wp14:editId="6A67AAFF">
            <wp:extent cx="5772785" cy="3763077"/>
            <wp:effectExtent l="0" t="0" r="5715" b="0"/>
            <wp:docPr id="7" name="Picture 7" descr="Macintosh HD:Users:mugehaseki:Desktop:CED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ugehaseki:Desktop:CEDR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5"/>
                    <a:stretch/>
                  </pic:blipFill>
                  <pic:spPr bwMode="auto">
                    <a:xfrm>
                      <a:off x="0" y="0"/>
                      <a:ext cx="5786015" cy="377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3720" w:rsidRPr="00443720">
        <w:rPr>
          <w:rFonts w:ascii="Times New Roman" w:hAnsi="Times New Roman" w:cs="Times New Roman"/>
          <w:i/>
          <w:sz w:val="24"/>
          <w:szCs w:val="24"/>
        </w:rPr>
        <w:t xml:space="preserve">A beneficiary of the program. </w:t>
      </w:r>
      <w:r w:rsidRPr="00443720">
        <w:rPr>
          <w:rFonts w:ascii="Times New Roman" w:hAnsi="Times New Roman" w:cs="Times New Roman"/>
          <w:i/>
          <w:sz w:val="24"/>
          <w:szCs w:val="24"/>
        </w:rPr>
        <w:t>Photo credit:</w:t>
      </w:r>
      <w:r w:rsidR="009B09A5" w:rsidRPr="00443720">
        <w:rPr>
          <w:rFonts w:ascii="Times New Roman" w:hAnsi="Times New Roman" w:cs="Times New Roman"/>
          <w:i/>
          <w:sz w:val="24"/>
          <w:szCs w:val="24"/>
        </w:rPr>
        <w:t xml:space="preserve"> CEDRO</w:t>
      </w:r>
      <w:r w:rsidRPr="0044372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6D15CB5F" w14:textId="77777777" w:rsidR="00E66370" w:rsidRPr="00AD4CC9" w:rsidRDefault="00D373C4" w:rsidP="0038648D">
      <w:pPr>
        <w:pStyle w:val="Heading1"/>
        <w:rPr>
          <w:b/>
        </w:rPr>
      </w:pPr>
      <w:r w:rsidRPr="00AD4CC9">
        <w:t xml:space="preserve">Executive Summary </w:t>
      </w:r>
    </w:p>
    <w:p w14:paraId="7827FE8F" w14:textId="2FCA6511" w:rsidR="00E66370" w:rsidRPr="00AD4CC9" w:rsidRDefault="00D373C4" w:rsidP="00AD4CC9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4CC9">
        <w:rPr>
          <w:rFonts w:ascii="Times New Roman" w:eastAsia="Times New Roman" w:hAnsi="Times New Roman" w:cs="Times New Roman"/>
          <w:sz w:val="24"/>
          <w:szCs w:val="24"/>
        </w:rPr>
        <w:t xml:space="preserve">From 2016 to 2018, </w:t>
      </w:r>
      <w:r w:rsidR="00B45F2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45F24" w:rsidRPr="00B23F0A">
        <w:rPr>
          <w:rFonts w:ascii="Times New Roman" w:eastAsia="Times New Roman" w:hAnsi="Times New Roman" w:cs="Times New Roman"/>
          <w:sz w:val="24"/>
          <w:szCs w:val="24"/>
        </w:rPr>
        <w:t>Center for Information and Education for the Prevention of Drug Abuse (CEDRO)</w:t>
      </w:r>
      <w:r w:rsidR="00B45F24">
        <w:rPr>
          <w:rFonts w:ascii="Times New Roman" w:eastAsia="Times New Roman" w:hAnsi="Times New Roman" w:cs="Times New Roman"/>
          <w:sz w:val="24"/>
          <w:szCs w:val="24"/>
        </w:rPr>
        <w:t xml:space="preserve"> in Peru ran a</w:t>
      </w:r>
      <w:r w:rsidR="00B45F24" w:rsidRPr="00AD4CC9">
        <w:rPr>
          <w:rFonts w:ascii="Times New Roman" w:eastAsia="Times New Roman" w:hAnsi="Times New Roman" w:cs="Times New Roman"/>
          <w:sz w:val="24"/>
          <w:szCs w:val="24"/>
        </w:rPr>
        <w:t xml:space="preserve"> financ</w:t>
      </w:r>
      <w:r w:rsidR="0038648D">
        <w:rPr>
          <w:rFonts w:ascii="Times New Roman" w:eastAsia="Times New Roman" w:hAnsi="Times New Roman" w:cs="Times New Roman"/>
          <w:sz w:val="24"/>
          <w:szCs w:val="24"/>
        </w:rPr>
        <w:t xml:space="preserve">ial inclusion program for </w:t>
      </w:r>
      <w:r w:rsidR="00B45F24" w:rsidRPr="00AD4CC9">
        <w:rPr>
          <w:rFonts w:ascii="Times New Roman" w:eastAsia="Times New Roman" w:hAnsi="Times New Roman" w:cs="Times New Roman"/>
          <w:sz w:val="24"/>
          <w:szCs w:val="24"/>
        </w:rPr>
        <w:t xml:space="preserve">5,000 women for </w:t>
      </w:r>
      <w:r w:rsidR="00B45F24">
        <w:rPr>
          <w:rFonts w:ascii="Times New Roman" w:eastAsia="Times New Roman" w:hAnsi="Times New Roman" w:cs="Times New Roman"/>
          <w:sz w:val="24"/>
          <w:szCs w:val="24"/>
        </w:rPr>
        <w:t>information and communications technology (</w:t>
      </w:r>
      <w:r w:rsidR="00B45F24" w:rsidRPr="00AD4CC9">
        <w:rPr>
          <w:rFonts w:ascii="Times New Roman" w:eastAsia="Times New Roman" w:hAnsi="Times New Roman" w:cs="Times New Roman"/>
          <w:sz w:val="24"/>
          <w:szCs w:val="24"/>
        </w:rPr>
        <w:t>ICT</w:t>
      </w:r>
      <w:r w:rsidR="00B45F24">
        <w:rPr>
          <w:rFonts w:ascii="Times New Roman" w:eastAsia="Times New Roman" w:hAnsi="Times New Roman" w:cs="Times New Roman"/>
          <w:sz w:val="24"/>
          <w:szCs w:val="24"/>
        </w:rPr>
        <w:t>)</w:t>
      </w:r>
      <w:r w:rsidR="00B45F24" w:rsidRPr="00AD4CC9">
        <w:rPr>
          <w:rFonts w:ascii="Times New Roman" w:eastAsia="Times New Roman" w:hAnsi="Times New Roman" w:cs="Times New Roman"/>
          <w:sz w:val="24"/>
          <w:szCs w:val="24"/>
        </w:rPr>
        <w:t xml:space="preserve"> literacy and economic training, </w:t>
      </w:r>
      <w:r w:rsidR="00B45F24">
        <w:rPr>
          <w:rFonts w:ascii="Times New Roman" w:eastAsia="Times New Roman" w:hAnsi="Times New Roman" w:cs="Times New Roman"/>
          <w:sz w:val="24"/>
          <w:szCs w:val="24"/>
        </w:rPr>
        <w:t xml:space="preserve">as well as </w:t>
      </w:r>
      <w:r w:rsidR="00B45F24" w:rsidRPr="00AD4CC9">
        <w:rPr>
          <w:rFonts w:ascii="Times New Roman" w:eastAsia="Times New Roman" w:hAnsi="Times New Roman" w:cs="Times New Roman"/>
          <w:sz w:val="24"/>
          <w:szCs w:val="24"/>
        </w:rPr>
        <w:t xml:space="preserve">a select group of 380 women specifically for entrepreneurial training. </w:t>
      </w:r>
      <w:r w:rsidR="006524E8">
        <w:rPr>
          <w:rFonts w:ascii="Times New Roman" w:eastAsia="Times New Roman" w:hAnsi="Times New Roman" w:cs="Times New Roman"/>
          <w:sz w:val="24"/>
          <w:szCs w:val="24"/>
        </w:rPr>
        <w:t>W</w:t>
      </w:r>
      <w:r w:rsidR="0038648D">
        <w:rPr>
          <w:rFonts w:ascii="Times New Roman" w:eastAsia="Times New Roman" w:hAnsi="Times New Roman" w:cs="Times New Roman"/>
          <w:sz w:val="24"/>
          <w:szCs w:val="24"/>
        </w:rPr>
        <w:t>ith support from the</w:t>
      </w:r>
      <w:r w:rsidR="0086086D">
        <w:rPr>
          <w:rFonts w:ascii="Times New Roman" w:eastAsia="Times New Roman" w:hAnsi="Times New Roman" w:cs="Times New Roman"/>
          <w:sz w:val="24"/>
          <w:szCs w:val="24"/>
        </w:rPr>
        <w:t xml:space="preserve"> United States Agency for International Development (</w:t>
      </w:r>
      <w:r w:rsidRPr="00AD4CC9">
        <w:rPr>
          <w:rFonts w:ascii="Times New Roman" w:eastAsia="Times New Roman" w:hAnsi="Times New Roman" w:cs="Times New Roman"/>
          <w:sz w:val="24"/>
          <w:szCs w:val="24"/>
        </w:rPr>
        <w:t>USAID</w:t>
      </w:r>
      <w:r w:rsidR="0086086D">
        <w:rPr>
          <w:rFonts w:ascii="Times New Roman" w:eastAsia="Times New Roman" w:hAnsi="Times New Roman" w:cs="Times New Roman"/>
          <w:sz w:val="24"/>
          <w:szCs w:val="24"/>
        </w:rPr>
        <w:t>)</w:t>
      </w:r>
      <w:r w:rsidR="0038648D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B23F0A">
        <w:rPr>
          <w:rFonts w:ascii="Times New Roman" w:eastAsia="Times New Roman" w:hAnsi="Times New Roman" w:cs="Times New Roman"/>
          <w:sz w:val="24"/>
          <w:szCs w:val="24"/>
        </w:rPr>
        <w:t xml:space="preserve"> Comités de Pobladores</w:t>
      </w:r>
      <w:r w:rsidR="006524E8">
        <w:rPr>
          <w:rFonts w:ascii="Times New Roman" w:eastAsia="Times New Roman" w:hAnsi="Times New Roman" w:cs="Times New Roman"/>
          <w:sz w:val="24"/>
          <w:szCs w:val="24"/>
        </w:rPr>
        <w:t>, t</w:t>
      </w:r>
      <w:r w:rsidRPr="00AD4CC9">
        <w:rPr>
          <w:rFonts w:ascii="Times New Roman" w:eastAsia="Times New Roman" w:hAnsi="Times New Roman" w:cs="Times New Roman"/>
          <w:sz w:val="24"/>
          <w:szCs w:val="24"/>
        </w:rPr>
        <w:t xml:space="preserve">he program trains women who </w:t>
      </w:r>
      <w:r w:rsidR="00443720">
        <w:rPr>
          <w:rFonts w:ascii="Times New Roman" w:eastAsia="Times New Roman" w:hAnsi="Times New Roman" w:cs="Times New Roman"/>
          <w:sz w:val="24"/>
          <w:szCs w:val="24"/>
        </w:rPr>
        <w:t>then</w:t>
      </w:r>
      <w:r w:rsidRPr="00AD4CC9">
        <w:rPr>
          <w:rFonts w:ascii="Times New Roman" w:eastAsia="Times New Roman" w:hAnsi="Times New Roman" w:cs="Times New Roman"/>
          <w:sz w:val="24"/>
          <w:szCs w:val="24"/>
        </w:rPr>
        <w:t xml:space="preserve"> train others in groups of 20-25</w:t>
      </w:r>
      <w:r w:rsidR="00443720">
        <w:rPr>
          <w:rFonts w:ascii="Times New Roman" w:eastAsia="Times New Roman" w:hAnsi="Times New Roman" w:cs="Times New Roman"/>
          <w:sz w:val="24"/>
          <w:szCs w:val="24"/>
        </w:rPr>
        <w:t>. The p</w:t>
      </w:r>
      <w:r w:rsidRPr="00AD4CC9">
        <w:rPr>
          <w:rFonts w:ascii="Times New Roman" w:eastAsia="Times New Roman" w:hAnsi="Times New Roman" w:cs="Times New Roman"/>
          <w:sz w:val="24"/>
          <w:szCs w:val="24"/>
        </w:rPr>
        <w:t xml:space="preserve">rograms </w:t>
      </w:r>
      <w:r w:rsidR="006524E8">
        <w:rPr>
          <w:rFonts w:ascii="Times New Roman" w:eastAsia="Times New Roman" w:hAnsi="Times New Roman" w:cs="Times New Roman"/>
          <w:sz w:val="24"/>
          <w:szCs w:val="24"/>
        </w:rPr>
        <w:t xml:space="preserve">equip </w:t>
      </w:r>
      <w:r w:rsidRPr="00AD4CC9">
        <w:rPr>
          <w:rFonts w:ascii="Times New Roman" w:eastAsia="Times New Roman" w:hAnsi="Times New Roman" w:cs="Times New Roman"/>
          <w:sz w:val="24"/>
          <w:szCs w:val="24"/>
        </w:rPr>
        <w:t xml:space="preserve">women </w:t>
      </w:r>
      <w:r w:rsidR="006524E8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AD4CC9">
        <w:rPr>
          <w:rFonts w:ascii="Times New Roman" w:eastAsia="Times New Roman" w:hAnsi="Times New Roman" w:cs="Times New Roman"/>
          <w:sz w:val="24"/>
          <w:szCs w:val="24"/>
        </w:rPr>
        <w:t xml:space="preserve"> business </w:t>
      </w:r>
      <w:r w:rsidR="0038648D">
        <w:rPr>
          <w:rFonts w:ascii="Times New Roman" w:eastAsia="Times New Roman" w:hAnsi="Times New Roman" w:cs="Times New Roman"/>
          <w:sz w:val="24"/>
          <w:szCs w:val="24"/>
        </w:rPr>
        <w:t xml:space="preserve">and financial </w:t>
      </w:r>
      <w:r w:rsidRPr="00AD4CC9">
        <w:rPr>
          <w:rFonts w:ascii="Times New Roman" w:eastAsia="Times New Roman" w:hAnsi="Times New Roman" w:cs="Times New Roman"/>
          <w:sz w:val="24"/>
          <w:szCs w:val="24"/>
        </w:rPr>
        <w:t>organization</w:t>
      </w:r>
      <w:r w:rsidR="006524E8">
        <w:rPr>
          <w:rFonts w:ascii="Times New Roman" w:eastAsia="Times New Roman" w:hAnsi="Times New Roman" w:cs="Times New Roman"/>
          <w:sz w:val="24"/>
          <w:szCs w:val="24"/>
        </w:rPr>
        <w:t>al skills</w:t>
      </w:r>
      <w:r w:rsidRPr="00AD4C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8648D">
        <w:rPr>
          <w:rFonts w:ascii="Times New Roman" w:eastAsia="Times New Roman" w:hAnsi="Times New Roman" w:cs="Times New Roman"/>
          <w:sz w:val="24"/>
          <w:szCs w:val="24"/>
        </w:rPr>
        <w:t xml:space="preserve">as well as </w:t>
      </w:r>
      <w:r w:rsidRPr="00AD4CC9">
        <w:rPr>
          <w:rFonts w:ascii="Times New Roman" w:eastAsia="Times New Roman" w:hAnsi="Times New Roman" w:cs="Times New Roman"/>
          <w:sz w:val="24"/>
          <w:szCs w:val="24"/>
        </w:rPr>
        <w:t>a solid foundation in digital literacy and e-commerce. They have initiated 38 tech</w:t>
      </w:r>
      <w:r w:rsidR="004C6BF4">
        <w:rPr>
          <w:rFonts w:ascii="Times New Roman" w:eastAsia="Times New Roman" w:hAnsi="Times New Roman" w:cs="Times New Roman"/>
          <w:sz w:val="24"/>
          <w:szCs w:val="24"/>
        </w:rPr>
        <w:t>nology</w:t>
      </w:r>
      <w:r w:rsidR="0038648D">
        <w:rPr>
          <w:rFonts w:ascii="Times New Roman" w:eastAsia="Times New Roman" w:hAnsi="Times New Roman" w:cs="Times New Roman"/>
          <w:sz w:val="24"/>
          <w:szCs w:val="24"/>
        </w:rPr>
        <w:t xml:space="preserve"> centers in </w:t>
      </w:r>
      <w:r w:rsidR="00443720">
        <w:rPr>
          <w:rFonts w:ascii="Times New Roman" w:eastAsia="Times New Roman" w:hAnsi="Times New Roman" w:cs="Times New Roman"/>
          <w:sz w:val="24"/>
          <w:szCs w:val="24"/>
        </w:rPr>
        <w:t>three regions in Peru</w:t>
      </w:r>
    </w:p>
    <w:p w14:paraId="315DA850" w14:textId="77777777" w:rsidR="00E66370" w:rsidRPr="00AD4CC9" w:rsidRDefault="00E66370" w:rsidP="00AD4CC9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10EE258" w14:textId="12AB7696" w:rsidR="00E66370" w:rsidRPr="00AD4CC9" w:rsidRDefault="00D373C4" w:rsidP="00AD4CC9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 w:rsidRPr="00AD4CC9">
        <w:rPr>
          <w:rFonts w:ascii="Times New Roman" w:eastAsia="Times New Roman" w:hAnsi="Times New Roman" w:cs="Times New Roman"/>
          <w:i/>
          <w:sz w:val="24"/>
          <w:szCs w:val="24"/>
        </w:rPr>
        <w:t xml:space="preserve">Keywords: women, financial inclusion, </w:t>
      </w:r>
      <w:r w:rsidR="004C6BF4">
        <w:rPr>
          <w:rFonts w:ascii="Times New Roman" w:eastAsia="Times New Roman" w:hAnsi="Times New Roman" w:cs="Times New Roman"/>
          <w:i/>
          <w:sz w:val="24"/>
          <w:szCs w:val="24"/>
        </w:rPr>
        <w:t>e-commerce</w:t>
      </w:r>
      <w:r w:rsidRPr="00AD4CC9">
        <w:rPr>
          <w:rFonts w:ascii="Times New Roman" w:eastAsia="Times New Roman" w:hAnsi="Times New Roman" w:cs="Times New Roman"/>
          <w:i/>
          <w:sz w:val="24"/>
          <w:szCs w:val="24"/>
        </w:rPr>
        <w:t>, electronic banking, Peru</w:t>
      </w:r>
    </w:p>
    <w:p w14:paraId="630E4FA4" w14:textId="77777777" w:rsidR="00E66370" w:rsidRPr="00AD4CC9" w:rsidRDefault="00D373C4" w:rsidP="0038648D">
      <w:pPr>
        <w:pStyle w:val="Heading1"/>
        <w:rPr>
          <w:b/>
        </w:rPr>
      </w:pPr>
      <w:r w:rsidRPr="00AD4CC9">
        <w:lastRenderedPageBreak/>
        <w:t>Context</w:t>
      </w:r>
    </w:p>
    <w:p w14:paraId="37122237" w14:textId="3E182C93" w:rsidR="00E66370" w:rsidRPr="00AD4CC9" w:rsidRDefault="0038068F" w:rsidP="00443720">
      <w:pPr>
        <w:pStyle w:val="Normal1"/>
        <w:spacing w:after="120" w:line="240" w:lineRule="auto"/>
        <w:jc w:val="both"/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Banking and finance continue to be a vexing developmental challenge in Peru.</w:t>
      </w:r>
      <w:r w:rsidRPr="0038068F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O</w:t>
      </w:r>
      <w:r w:rsidRPr="00AD4CC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nly </w:t>
      </w: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29 percent</w:t>
      </w:r>
      <w:r w:rsidRPr="00AD4CC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Peruvian</w:t>
      </w:r>
      <w:r w:rsidRPr="00AD4CC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adults </w:t>
      </w: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had</w:t>
      </w:r>
      <w:r w:rsidRPr="00AD4CC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a formal financial account in 2014, despite being ranked the best enabling environment for micro</w:t>
      </w: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finance and financial inclusion</w:t>
      </w:r>
      <w:r w:rsidR="00FE28A1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, according to the World Bank. </w:t>
      </w: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Furthermore, </w:t>
      </w:r>
      <w:r w:rsidR="004412D6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Peru is </w:t>
      </w:r>
      <w:r w:rsidR="00D373C4" w:rsidRPr="00AD4CC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com</w:t>
      </w:r>
      <w:r w:rsidR="004C6BF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mitted to </w:t>
      </w:r>
      <w:r w:rsidR="004412D6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empowering</w:t>
      </w:r>
      <w:r w:rsidR="004C6BF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at least 75 </w:t>
      </w:r>
      <w:r w:rsidR="004412D6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percent </w:t>
      </w:r>
      <w:r w:rsidR="00D373C4" w:rsidRPr="00AD4CC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of </w:t>
      </w:r>
      <w:r w:rsidR="004412D6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its adult citizens with access to an electronic </w:t>
      </w:r>
      <w:r w:rsidR="00D373C4" w:rsidRPr="00AD4CC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transaction</w:t>
      </w:r>
      <w:r w:rsidR="004412D6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-enabled</w:t>
      </w:r>
      <w:r w:rsidR="00D373C4" w:rsidRPr="00AD4CC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bank account by 2021. </w:t>
      </w:r>
      <w:r w:rsidR="004412D6" w:rsidRPr="00AD4CC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In </w:t>
      </w:r>
      <w:r w:rsidR="004412D6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line with this goal, the government </w:t>
      </w:r>
      <w:r w:rsidR="00D373C4" w:rsidRPr="00AD4CC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launched its National Financial Inclusion Strategy </w:t>
      </w:r>
      <w:r w:rsidR="004412D6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in 2015, which </w:t>
      </w:r>
      <w:r w:rsidR="00D373C4" w:rsidRPr="00AD4CC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promotes the use of electronic transaction instruments, access to savings, insurance and financing, consumer protection, and financial education programs. Financial inclusion is a priority because it helps mitigate the shocks and risks that households m</w:t>
      </w:r>
      <w:r w:rsidR="00E85C61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ight face, as well as increases </w:t>
      </w:r>
      <w:r w:rsidR="00D373C4" w:rsidRPr="00AD4CC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productivity and assets for businesses. </w:t>
      </w:r>
    </w:p>
    <w:p w14:paraId="126DED44" w14:textId="3A4A1232" w:rsidR="00E66370" w:rsidRPr="00AD4CC9" w:rsidRDefault="00D373C4" w:rsidP="00443720">
      <w:pPr>
        <w:pStyle w:val="Normal1"/>
        <w:spacing w:after="120" w:line="240" w:lineRule="auto"/>
        <w:jc w:val="both"/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</w:pPr>
      <w:r w:rsidRPr="00AD4CC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According to the Thunderbird </w:t>
      </w:r>
      <w:r w:rsidR="00FE28A1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School of Global Management, 98 percent</w:t>
      </w:r>
      <w:r w:rsidRPr="00AD4CC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of al</w:t>
      </w:r>
      <w:r w:rsidR="00FE28A1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l businesses in Peru were micro, </w:t>
      </w:r>
      <w:r w:rsidRPr="00AD4CC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small</w:t>
      </w:r>
      <w:r w:rsidR="00FE28A1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, and medium-sized</w:t>
      </w:r>
      <w:r w:rsidRPr="00AD4CC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enterprises (</w:t>
      </w:r>
      <w:r w:rsidR="00FE28A1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MSMEs) – 40 percent</w:t>
      </w:r>
      <w:r w:rsidRPr="00AD4CC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of which were owned and operated </w:t>
      </w:r>
      <w:r w:rsidR="00B70496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by women. Their need for credit</w:t>
      </w:r>
      <w:r w:rsidRPr="00AD4CC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is substantial, and many have not </w:t>
      </w:r>
      <w:r w:rsidR="00B70496" w:rsidRPr="00AD4CC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previously </w:t>
      </w:r>
      <w:r w:rsidR="00B70496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engaged in</w:t>
      </w:r>
      <w:r w:rsidRPr="00AD4CC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electronic banking or possessed sufficient digital literacy skills. Of the 83,000 new Peruvian customers added in 2016</w:t>
      </w:r>
      <w:r w:rsidR="00B70496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, for instance, 51 percent were women, while 43.5 per</w:t>
      </w:r>
      <w:r w:rsidR="005463B7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cent</w:t>
      </w:r>
      <w:r w:rsidRPr="00AD4CC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were accessing banking services for the</w:t>
      </w:r>
      <w:r w:rsidR="005463B7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first time, according to the </w:t>
      </w:r>
      <w:r w:rsidR="005463B7" w:rsidRPr="00AD4CC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BBVA Microfinance Foundation</w:t>
      </w:r>
      <w:r w:rsidR="005463B7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.</w:t>
      </w:r>
    </w:p>
    <w:p w14:paraId="4B2003E9" w14:textId="46A8CA40" w:rsidR="00E66370" w:rsidRDefault="00D373C4" w:rsidP="00443720">
      <w:pPr>
        <w:pStyle w:val="Normal1"/>
        <w:spacing w:after="120" w:line="240" w:lineRule="auto"/>
        <w:jc w:val="both"/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</w:pPr>
      <w:r w:rsidRPr="00AD4CC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Various agencies have created programs to provide digital literacy and financial inclusion training to Peruvians. In 2010, the Thunderbird School of Global Management, in colla</w:t>
      </w:r>
      <w:r w:rsidR="005463B7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boration with other government</w:t>
      </w:r>
      <w:r w:rsidRPr="00AD4CC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and private sector institutions, implemented the Strengthening Women Entrepreneurs in Peru that benefited 100,000 women micro-entrepreneurs and 700 women-led small enterprises. Financiera Confianza, a leader of microfinance sector in Peru, provides financial education to entrepreneurs through its group credit that serves 30,000 customers, Woman’s Word, and it</w:t>
      </w:r>
      <w:r w:rsidR="005463B7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s</w:t>
      </w:r>
      <w:r w:rsidRPr="00AD4CC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Savings for Everyone (Ahorro para Todos) program.</w:t>
      </w:r>
    </w:p>
    <w:p w14:paraId="0B4CC989" w14:textId="77777777" w:rsidR="002E112B" w:rsidRPr="00AD4CC9" w:rsidRDefault="002E112B" w:rsidP="00AD4CC9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</w:pPr>
    </w:p>
    <w:tbl>
      <w:tblPr>
        <w:tblStyle w:val="TableGrid"/>
        <w:tblW w:w="9210" w:type="dxa"/>
        <w:tblInd w:w="-5" w:type="dxa"/>
        <w:tblLayout w:type="fixed"/>
        <w:tblCellMar>
          <w:top w:w="100" w:type="dxa"/>
          <w:left w:w="0" w:type="dxa"/>
          <w:bottom w:w="100" w:type="dxa"/>
          <w:right w:w="0" w:type="dxa"/>
        </w:tblCellMar>
        <w:tblLook w:val="04A0" w:firstRow="1" w:lastRow="0" w:firstColumn="1" w:lastColumn="0" w:noHBand="0" w:noVBand="1"/>
      </w:tblPr>
      <w:tblGrid>
        <w:gridCol w:w="2710"/>
        <w:gridCol w:w="1830"/>
        <w:gridCol w:w="2940"/>
        <w:gridCol w:w="1730"/>
      </w:tblGrid>
      <w:tr w:rsidR="00645FA1" w:rsidRPr="005E54C2" w14:paraId="29AD07BB" w14:textId="77777777" w:rsidTr="0038648D">
        <w:trPr>
          <w:trHeight w:val="20"/>
        </w:trPr>
        <w:tc>
          <w:tcPr>
            <w:tcW w:w="921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62C1AE" w14:textId="77777777" w:rsidR="00645FA1" w:rsidRPr="005E54C2" w:rsidRDefault="00645FA1" w:rsidP="002E112B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E54C2">
              <w:rPr>
                <w:rFonts w:ascii="Times New Roman" w:hAnsi="Times New Roman" w:cs="Times New Roman"/>
                <w:b/>
              </w:rPr>
              <w:t>Peru</w:t>
            </w:r>
          </w:p>
        </w:tc>
      </w:tr>
      <w:tr w:rsidR="00645FA1" w:rsidRPr="005E54C2" w14:paraId="3D1AA177" w14:textId="77777777" w:rsidTr="0038648D">
        <w:trPr>
          <w:trHeight w:val="20"/>
        </w:trPr>
        <w:tc>
          <w:tcPr>
            <w:tcW w:w="2710" w:type="dxa"/>
            <w:shd w:val="clear" w:color="auto" w:fill="auto"/>
            <w:vAlign w:val="center"/>
          </w:tcPr>
          <w:p w14:paraId="6E0E4A67" w14:textId="77777777" w:rsidR="00645FA1" w:rsidRPr="005E54C2" w:rsidRDefault="00645FA1" w:rsidP="002E112B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bCs/>
                <w:lang w:eastAsia="en-US"/>
              </w:rPr>
            </w:pPr>
            <w:r w:rsidRPr="005E54C2">
              <w:rPr>
                <w:rFonts w:ascii="Times New Roman" w:hAnsi="Times New Roman" w:cs="Times New Roman"/>
                <w:b/>
                <w:lang w:eastAsia="en-US"/>
              </w:rPr>
              <w:t>Population</w:t>
            </w:r>
          </w:p>
          <w:p w14:paraId="35493779" w14:textId="77777777" w:rsidR="00645FA1" w:rsidRPr="005E54C2" w:rsidRDefault="00645FA1" w:rsidP="002E112B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5E54C2">
              <w:rPr>
                <w:rFonts w:ascii="Times New Roman" w:hAnsi="Times New Roman" w:cs="Times New Roman"/>
                <w:b/>
                <w:lang w:eastAsia="en-US"/>
              </w:rPr>
              <w:t>(UN, 2015)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54E1DFB8" w14:textId="77777777" w:rsidR="00645FA1" w:rsidRPr="005E54C2" w:rsidRDefault="00645FA1" w:rsidP="002E112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5E54C2">
              <w:rPr>
                <w:rFonts w:ascii="Times New Roman" w:hAnsi="Times New Roman" w:cs="Times New Roman"/>
              </w:rPr>
              <w:t>31,161,167</w:t>
            </w:r>
          </w:p>
        </w:tc>
        <w:tc>
          <w:tcPr>
            <w:tcW w:w="2940" w:type="dxa"/>
            <w:shd w:val="clear" w:color="auto" w:fill="auto"/>
            <w:vAlign w:val="center"/>
          </w:tcPr>
          <w:p w14:paraId="7850699C" w14:textId="77777777" w:rsidR="00645FA1" w:rsidRPr="005E54C2" w:rsidRDefault="00645FA1" w:rsidP="002E112B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5E54C2">
              <w:rPr>
                <w:rFonts w:ascii="Times New Roman" w:hAnsi="Times New Roman" w:cs="Times New Roman"/>
                <w:b/>
                <w:lang w:eastAsia="en-US"/>
              </w:rPr>
              <w:t>Fixed broadband subscriptions (%)</w:t>
            </w:r>
          </w:p>
          <w:p w14:paraId="3FF088B9" w14:textId="77777777" w:rsidR="00645FA1" w:rsidRPr="005E54C2" w:rsidRDefault="00645FA1" w:rsidP="002E112B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5E54C2">
              <w:rPr>
                <w:rFonts w:ascii="Times New Roman" w:hAnsi="Times New Roman" w:cs="Times New Roman"/>
                <w:b/>
                <w:lang w:eastAsia="en-US"/>
              </w:rPr>
              <w:t>(ITU, 2016)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9B9EF36" w14:textId="77777777" w:rsidR="00645FA1" w:rsidRPr="005E54C2" w:rsidRDefault="00645FA1" w:rsidP="002E112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5E54C2">
              <w:rPr>
                <w:rFonts w:ascii="Times New Roman" w:hAnsi="Times New Roman" w:cs="Times New Roman"/>
              </w:rPr>
              <w:t>6.72</w:t>
            </w:r>
          </w:p>
        </w:tc>
      </w:tr>
      <w:tr w:rsidR="00645FA1" w:rsidRPr="005E54C2" w14:paraId="661F404F" w14:textId="77777777" w:rsidTr="0038648D">
        <w:trPr>
          <w:trHeight w:val="20"/>
        </w:trPr>
        <w:tc>
          <w:tcPr>
            <w:tcW w:w="27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B12A92" w14:textId="77777777" w:rsidR="00645FA1" w:rsidRPr="005E54C2" w:rsidRDefault="00645FA1" w:rsidP="002E112B">
            <w:pPr>
              <w:pStyle w:val="NoSpacing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US"/>
              </w:rPr>
            </w:pPr>
            <w:r w:rsidRPr="005E54C2">
              <w:rPr>
                <w:rFonts w:ascii="Times New Roman" w:eastAsia="Times New Roman" w:hAnsi="Times New Roman" w:cs="Times New Roman"/>
                <w:b/>
                <w:lang w:eastAsia="en-US"/>
              </w:rPr>
              <w:t>Population density</w:t>
            </w:r>
          </w:p>
          <w:p w14:paraId="44BB02CC" w14:textId="04BB1298" w:rsidR="00645FA1" w:rsidRPr="005E54C2" w:rsidRDefault="005E54C2" w:rsidP="002E112B">
            <w:pPr>
              <w:pStyle w:val="NoSpacing"/>
              <w:contextualSpacing/>
              <w:jc w:val="center"/>
              <w:rPr>
                <w:rFonts w:ascii="Times New Roman" w:eastAsia="Times New Roman" w:hAnsi="Times New Roman" w:cs="Times New Roman"/>
                <w:b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lang w:eastAsia="en-US"/>
              </w:rPr>
              <w:t>(people per sq</w:t>
            </w:r>
            <w:r w:rsidR="00443720">
              <w:rPr>
                <w:rFonts w:ascii="Times New Roman" w:eastAsia="Times New Roman" w:hAnsi="Times New Roman" w:cs="Times New Roman"/>
                <w:b/>
                <w:lang w:eastAsia="en-US"/>
              </w:rPr>
              <w:t>. km</w:t>
            </w:r>
            <w:r w:rsidR="00645FA1" w:rsidRPr="005E54C2">
              <w:rPr>
                <w:rFonts w:ascii="Times New Roman" w:eastAsia="Times New Roman" w:hAnsi="Times New Roman" w:cs="Times New Roman"/>
                <w:b/>
                <w:lang w:eastAsia="en-US"/>
              </w:rPr>
              <w:t>)</w:t>
            </w:r>
          </w:p>
          <w:p w14:paraId="55672B31" w14:textId="77777777" w:rsidR="00645FA1" w:rsidRPr="005E54C2" w:rsidRDefault="00645FA1" w:rsidP="002E112B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5E54C2">
              <w:rPr>
                <w:rFonts w:ascii="Times New Roman" w:eastAsia="Times New Roman" w:hAnsi="Times New Roman" w:cs="Times New Roman"/>
                <w:b/>
                <w:lang w:eastAsia="en-US"/>
              </w:rPr>
              <w:t>(UN, 2015)</w:t>
            </w:r>
          </w:p>
        </w:tc>
        <w:tc>
          <w:tcPr>
            <w:tcW w:w="18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F0E3E5" w14:textId="77777777" w:rsidR="00645FA1" w:rsidRPr="005E54C2" w:rsidRDefault="00645FA1" w:rsidP="002E112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5E54C2">
              <w:rPr>
                <w:rFonts w:ascii="Times New Roman" w:hAnsi="Times New Roman" w:cs="Times New Roman"/>
              </w:rPr>
              <w:t>24.25</w:t>
            </w:r>
          </w:p>
        </w:tc>
        <w:tc>
          <w:tcPr>
            <w:tcW w:w="2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9F2A04" w14:textId="77777777" w:rsidR="0038648D" w:rsidRDefault="00645FA1" w:rsidP="0038648D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5E54C2">
              <w:rPr>
                <w:rFonts w:ascii="Times New Roman" w:hAnsi="Times New Roman" w:cs="Times New Roman"/>
                <w:b/>
                <w:lang w:eastAsia="en-US"/>
              </w:rPr>
              <w:t>Mobile cellular subscriptions (%)</w:t>
            </w:r>
          </w:p>
          <w:p w14:paraId="28FDBF9E" w14:textId="78659F5A" w:rsidR="00645FA1" w:rsidRPr="005E54C2" w:rsidRDefault="00645FA1" w:rsidP="0038648D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5E54C2">
              <w:rPr>
                <w:rFonts w:ascii="Times New Roman" w:hAnsi="Times New Roman" w:cs="Times New Roman"/>
                <w:b/>
                <w:lang w:eastAsia="en-US"/>
              </w:rPr>
              <w:t>(ITU, 2016)</w:t>
            </w:r>
          </w:p>
        </w:tc>
        <w:tc>
          <w:tcPr>
            <w:tcW w:w="17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CD2C9" w14:textId="77777777" w:rsidR="00645FA1" w:rsidRPr="005E54C2" w:rsidRDefault="00645FA1" w:rsidP="002E112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5E54C2">
              <w:rPr>
                <w:rFonts w:ascii="Times New Roman" w:hAnsi="Times New Roman" w:cs="Times New Roman"/>
              </w:rPr>
              <w:t>117.06</w:t>
            </w:r>
          </w:p>
        </w:tc>
      </w:tr>
      <w:tr w:rsidR="00645FA1" w:rsidRPr="005E54C2" w14:paraId="120D9612" w14:textId="77777777" w:rsidTr="0038648D">
        <w:trPr>
          <w:trHeight w:val="20"/>
        </w:trPr>
        <w:tc>
          <w:tcPr>
            <w:tcW w:w="2710" w:type="dxa"/>
            <w:shd w:val="clear" w:color="auto" w:fill="auto"/>
            <w:vAlign w:val="center"/>
          </w:tcPr>
          <w:p w14:paraId="57F307FD" w14:textId="77777777" w:rsidR="00645FA1" w:rsidRPr="005E54C2" w:rsidRDefault="00645FA1" w:rsidP="002E112B">
            <w:pPr>
              <w:pStyle w:val="NoSpacing"/>
              <w:contextualSpacing/>
              <w:jc w:val="center"/>
              <w:rPr>
                <w:rFonts w:ascii="Times New Roman" w:eastAsia="Times New Roman" w:hAnsi="Times New Roman" w:cs="Times New Roman"/>
                <w:b/>
                <w:lang w:eastAsia="en-US"/>
              </w:rPr>
            </w:pPr>
            <w:r w:rsidRPr="005E54C2">
              <w:rPr>
                <w:rFonts w:ascii="Times New Roman" w:eastAsia="Times New Roman" w:hAnsi="Times New Roman" w:cs="Times New Roman"/>
                <w:b/>
                <w:lang w:eastAsia="en-US"/>
              </w:rPr>
              <w:t>Median household income</w:t>
            </w:r>
          </w:p>
          <w:p w14:paraId="21866754" w14:textId="77777777" w:rsidR="00645FA1" w:rsidRPr="005E54C2" w:rsidRDefault="00645FA1" w:rsidP="002E112B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5E54C2">
              <w:rPr>
                <w:rFonts w:ascii="Times New Roman" w:eastAsia="Times New Roman" w:hAnsi="Times New Roman" w:cs="Times New Roman"/>
                <w:b/>
                <w:lang w:eastAsia="en-US"/>
              </w:rPr>
              <w:t>(Gallup, 2006-2012)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3C36C301" w14:textId="77777777" w:rsidR="00645FA1" w:rsidRPr="005E54C2" w:rsidRDefault="00645FA1" w:rsidP="002E112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5E54C2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940" w:type="dxa"/>
            <w:shd w:val="clear" w:color="auto" w:fill="auto"/>
            <w:vAlign w:val="center"/>
          </w:tcPr>
          <w:p w14:paraId="1BE3CDC4" w14:textId="77777777" w:rsidR="00645FA1" w:rsidRPr="005E54C2" w:rsidRDefault="00645FA1" w:rsidP="002E112B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E54C2">
              <w:rPr>
                <w:rFonts w:ascii="Times New Roman" w:hAnsi="Times New Roman" w:cs="Times New Roman"/>
                <w:b/>
              </w:rPr>
              <w:t>Individuals using the Internet (%)</w:t>
            </w:r>
          </w:p>
          <w:p w14:paraId="0D5987DC" w14:textId="77777777" w:rsidR="00645FA1" w:rsidRPr="005E54C2" w:rsidRDefault="00645FA1" w:rsidP="002E112B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5E54C2">
              <w:rPr>
                <w:rFonts w:ascii="Times New Roman" w:hAnsi="Times New Roman" w:cs="Times New Roman"/>
                <w:b/>
              </w:rPr>
              <w:t>(ITU, 2016)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EBDCA7B" w14:textId="77777777" w:rsidR="00645FA1" w:rsidRPr="005E54C2" w:rsidRDefault="00645FA1" w:rsidP="002E112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5E54C2">
              <w:rPr>
                <w:rFonts w:ascii="Times New Roman" w:hAnsi="Times New Roman" w:cs="Times New Roman"/>
              </w:rPr>
              <w:t>45.5</w:t>
            </w:r>
          </w:p>
        </w:tc>
      </w:tr>
      <w:tr w:rsidR="00645FA1" w:rsidRPr="005E54C2" w14:paraId="464F6DC8" w14:textId="77777777" w:rsidTr="0038648D">
        <w:trPr>
          <w:trHeight w:val="20"/>
        </w:trPr>
        <w:tc>
          <w:tcPr>
            <w:tcW w:w="2710" w:type="dxa"/>
            <w:shd w:val="clear" w:color="auto" w:fill="auto"/>
            <w:vAlign w:val="center"/>
          </w:tcPr>
          <w:p w14:paraId="2E42EBA9" w14:textId="77777777" w:rsidR="00645FA1" w:rsidRPr="005E54C2" w:rsidRDefault="00645FA1" w:rsidP="002E112B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54C2">
              <w:rPr>
                <w:rFonts w:ascii="Times New Roman" w:hAnsi="Times New Roman" w:cs="Times New Roman"/>
                <w:b/>
              </w:rPr>
              <w:t>Education</w:t>
            </w:r>
          </w:p>
          <w:p w14:paraId="46D05F57" w14:textId="77777777" w:rsidR="0038648D" w:rsidRDefault="0038648D" w:rsidP="002E112B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(Mean years of schooling)</w:t>
            </w:r>
          </w:p>
          <w:p w14:paraId="585771EF" w14:textId="0D13AC94" w:rsidR="00645FA1" w:rsidRPr="005E54C2" w:rsidRDefault="00645FA1" w:rsidP="002E112B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E54C2">
              <w:rPr>
                <w:rFonts w:ascii="Times New Roman" w:hAnsi="Times New Roman" w:cs="Times New Roman"/>
                <w:b/>
              </w:rPr>
              <w:t>(UNDP, 2013)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2DBAB8DD" w14:textId="77777777" w:rsidR="00645FA1" w:rsidRPr="005E54C2" w:rsidRDefault="00645FA1" w:rsidP="002E112B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</w:rPr>
            </w:pPr>
            <w:r w:rsidRPr="005E54C2">
              <w:rPr>
                <w:rFonts w:ascii="Times New Roman" w:hAnsi="Times New Roman" w:cs="Times New Roman"/>
              </w:rPr>
              <w:t>Male: 9.6</w:t>
            </w:r>
          </w:p>
          <w:p w14:paraId="6F52C45C" w14:textId="77777777" w:rsidR="00645FA1" w:rsidRPr="005E54C2" w:rsidRDefault="00645FA1" w:rsidP="002E112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5E54C2">
              <w:rPr>
                <w:rFonts w:ascii="Times New Roman" w:hAnsi="Times New Roman" w:cs="Times New Roman"/>
              </w:rPr>
              <w:t>Female: 8.5</w:t>
            </w:r>
          </w:p>
        </w:tc>
        <w:tc>
          <w:tcPr>
            <w:tcW w:w="2940" w:type="dxa"/>
            <w:shd w:val="clear" w:color="auto" w:fill="auto"/>
            <w:vAlign w:val="center"/>
          </w:tcPr>
          <w:p w14:paraId="1ACB4994" w14:textId="77777777" w:rsidR="0038648D" w:rsidRDefault="00645FA1" w:rsidP="002E112B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E54C2">
              <w:rPr>
                <w:rFonts w:ascii="Times New Roman" w:hAnsi="Times New Roman" w:cs="Times New Roman"/>
                <w:b/>
              </w:rPr>
              <w:t>Ind</w:t>
            </w:r>
            <w:r w:rsidR="002E112B" w:rsidRPr="005E54C2">
              <w:rPr>
                <w:rFonts w:ascii="Times New Roman" w:hAnsi="Times New Roman" w:cs="Times New Roman"/>
                <w:b/>
              </w:rPr>
              <w:t>ividuals using the Internet by g</w:t>
            </w:r>
            <w:r w:rsidR="0038648D">
              <w:rPr>
                <w:rFonts w:ascii="Times New Roman" w:hAnsi="Times New Roman" w:cs="Times New Roman"/>
                <w:b/>
              </w:rPr>
              <w:t>ender (%)</w:t>
            </w:r>
          </w:p>
          <w:p w14:paraId="5D524572" w14:textId="4EDB202D" w:rsidR="00645FA1" w:rsidRPr="00DD70F7" w:rsidRDefault="00645FA1" w:rsidP="00DD70F7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5E54C2">
              <w:rPr>
                <w:rFonts w:ascii="Times New Roman" w:hAnsi="Times New Roman" w:cs="Times New Roman"/>
                <w:b/>
              </w:rPr>
              <w:t>(ITU, 2016)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832A53E" w14:textId="77777777" w:rsidR="00645FA1" w:rsidRPr="005E54C2" w:rsidRDefault="00645FA1" w:rsidP="002E112B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5E54C2">
              <w:rPr>
                <w:rFonts w:ascii="Times New Roman" w:hAnsi="Times New Roman" w:cs="Times New Roman"/>
                <w:lang w:eastAsia="en-US"/>
              </w:rPr>
              <w:t>Male: 48.3</w:t>
            </w:r>
          </w:p>
          <w:p w14:paraId="39F9FC43" w14:textId="77777777" w:rsidR="00645FA1" w:rsidRPr="005E54C2" w:rsidRDefault="00645FA1" w:rsidP="002E112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5E54C2">
              <w:rPr>
                <w:rFonts w:ascii="Times New Roman" w:hAnsi="Times New Roman" w:cs="Times New Roman"/>
              </w:rPr>
              <w:t>Female: 42.6</w:t>
            </w:r>
          </w:p>
        </w:tc>
      </w:tr>
    </w:tbl>
    <w:p w14:paraId="16D9041E" w14:textId="756D7816" w:rsidR="00E66370" w:rsidRPr="00AD4CC9" w:rsidRDefault="002E112B" w:rsidP="0038648D">
      <w:pPr>
        <w:pStyle w:val="Heading1"/>
        <w:rPr>
          <w:b/>
        </w:rPr>
      </w:pPr>
      <w:r>
        <w:t>Project D</w:t>
      </w:r>
      <w:r w:rsidR="00D373C4" w:rsidRPr="00AD4CC9">
        <w:t>escription</w:t>
      </w:r>
    </w:p>
    <w:p w14:paraId="1E7FB357" w14:textId="77777777" w:rsidR="00E66370" w:rsidRPr="00AD4CC9" w:rsidRDefault="00D373C4" w:rsidP="00AD4CC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4CC9">
        <w:rPr>
          <w:rFonts w:ascii="Times New Roman" w:eastAsia="Times New Roman" w:hAnsi="Times New Roman" w:cs="Times New Roman"/>
          <w:sz w:val="24"/>
          <w:szCs w:val="24"/>
        </w:rPr>
        <w:t xml:space="preserve">The project is designed to empower women through education in ICT, business, and finance. The goal is to reform economic participation at the household level, and to empower women </w:t>
      </w:r>
      <w:r w:rsidRPr="00AD4CC9">
        <w:rPr>
          <w:rFonts w:ascii="Times New Roman" w:eastAsia="Times New Roman" w:hAnsi="Times New Roman" w:cs="Times New Roman"/>
          <w:sz w:val="24"/>
          <w:szCs w:val="24"/>
        </w:rPr>
        <w:lastRenderedPageBreak/>
        <w:t>to make money and create opportunities for themselves, each other, their families, and the region.</w:t>
      </w:r>
    </w:p>
    <w:p w14:paraId="0D189D56" w14:textId="64C62DD4" w:rsidR="00E66370" w:rsidRDefault="005463B7" w:rsidP="00AD4CC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consists of</w:t>
      </w:r>
      <w:r w:rsidR="00D373C4" w:rsidRPr="00AD4CC9">
        <w:rPr>
          <w:rFonts w:ascii="Times New Roman" w:eastAsia="Times New Roman" w:hAnsi="Times New Roman" w:cs="Times New Roman"/>
          <w:sz w:val="24"/>
          <w:szCs w:val="24"/>
        </w:rPr>
        <w:t xml:space="preserve"> three areas of education. First is the digital literacy program, which inclu</w:t>
      </w:r>
      <w:r w:rsidR="00E159C7">
        <w:rPr>
          <w:rFonts w:ascii="Times New Roman" w:eastAsia="Times New Roman" w:hAnsi="Times New Roman" w:cs="Times New Roman"/>
          <w:sz w:val="24"/>
          <w:szCs w:val="24"/>
        </w:rPr>
        <w:t>des 100 hours of training, and three</w:t>
      </w:r>
      <w:r w:rsidR="00D373C4" w:rsidRPr="00AD4CC9">
        <w:rPr>
          <w:rFonts w:ascii="Times New Roman" w:eastAsia="Times New Roman" w:hAnsi="Times New Roman" w:cs="Times New Roman"/>
          <w:sz w:val="24"/>
          <w:szCs w:val="24"/>
        </w:rPr>
        <w:t xml:space="preserve"> modules: basic, intermediate, </w:t>
      </w:r>
      <w:r w:rsidR="002E112B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E159C7">
        <w:rPr>
          <w:rFonts w:ascii="Times New Roman" w:eastAsia="Times New Roman" w:hAnsi="Times New Roman" w:cs="Times New Roman"/>
          <w:sz w:val="24"/>
          <w:szCs w:val="24"/>
        </w:rPr>
        <w:t>advanced. The second area</w:t>
      </w:r>
      <w:r w:rsidR="00D373C4" w:rsidRPr="00AD4CC9">
        <w:rPr>
          <w:rFonts w:ascii="Times New Roman" w:eastAsia="Times New Roman" w:hAnsi="Times New Roman" w:cs="Times New Roman"/>
          <w:sz w:val="24"/>
          <w:szCs w:val="24"/>
        </w:rPr>
        <w:t xml:space="preserve"> is finan</w:t>
      </w:r>
      <w:r w:rsidR="00E159C7">
        <w:rPr>
          <w:rFonts w:ascii="Times New Roman" w:eastAsia="Times New Roman" w:hAnsi="Times New Roman" w:cs="Times New Roman"/>
          <w:sz w:val="24"/>
          <w:szCs w:val="24"/>
        </w:rPr>
        <w:t>cial education, which includes eight</w:t>
      </w:r>
      <w:r w:rsidR="00D373C4" w:rsidRPr="00AD4CC9">
        <w:rPr>
          <w:rFonts w:ascii="Times New Roman" w:eastAsia="Times New Roman" w:hAnsi="Times New Roman" w:cs="Times New Roman"/>
          <w:sz w:val="24"/>
          <w:szCs w:val="24"/>
        </w:rPr>
        <w:t xml:space="preserve"> hours of training on topics including savings, budget, how to manage debts, and financial services. </w:t>
      </w:r>
      <w:r w:rsidR="00E159C7">
        <w:rPr>
          <w:rFonts w:ascii="Times New Roman" w:eastAsia="Times New Roman" w:hAnsi="Times New Roman" w:cs="Times New Roman"/>
          <w:sz w:val="24"/>
          <w:szCs w:val="24"/>
        </w:rPr>
        <w:t>The third area</w:t>
      </w:r>
      <w:r w:rsidR="00D373C4" w:rsidRPr="00AD4CC9">
        <w:rPr>
          <w:rFonts w:ascii="Times New Roman" w:eastAsia="Times New Roman" w:hAnsi="Times New Roman" w:cs="Times New Roman"/>
          <w:sz w:val="24"/>
          <w:szCs w:val="24"/>
        </w:rPr>
        <w:t xml:space="preserve"> is entrepreneurship training, which includes 12 hours of instruction covering topics such as how to create competency, initiatives of ideas, how to create a business plan and implement it, and how to legally set up businesses. The </w:t>
      </w:r>
      <w:r w:rsidR="00D700A1">
        <w:rPr>
          <w:rFonts w:ascii="Times New Roman" w:eastAsia="Times New Roman" w:hAnsi="Times New Roman" w:cs="Times New Roman"/>
          <w:sz w:val="24"/>
          <w:szCs w:val="24"/>
        </w:rPr>
        <w:t>curricula</w:t>
      </w:r>
      <w:r w:rsidR="002E112B" w:rsidRPr="00AD4CC9">
        <w:rPr>
          <w:rFonts w:ascii="Times New Roman" w:eastAsia="Times New Roman" w:hAnsi="Times New Roman" w:cs="Times New Roman"/>
          <w:sz w:val="24"/>
          <w:szCs w:val="24"/>
        </w:rPr>
        <w:t xml:space="preserve"> across</w:t>
      </w:r>
      <w:r w:rsidR="00D700A1">
        <w:rPr>
          <w:rFonts w:ascii="Times New Roman" w:eastAsia="Times New Roman" w:hAnsi="Times New Roman" w:cs="Times New Roman"/>
          <w:sz w:val="24"/>
          <w:szCs w:val="24"/>
        </w:rPr>
        <w:t xml:space="preserve"> these branches also involve</w:t>
      </w:r>
      <w:r w:rsidR="00D373C4" w:rsidRPr="00AD4CC9">
        <w:rPr>
          <w:rFonts w:ascii="Times New Roman" w:eastAsia="Times New Roman" w:hAnsi="Times New Roman" w:cs="Times New Roman"/>
          <w:sz w:val="24"/>
          <w:szCs w:val="24"/>
        </w:rPr>
        <w:t xml:space="preserve"> topics on gender empowerment and leadership. The pre-condition to participate in the program is that women are already part of Peru’s social inclusion program, so the financial inclusion and digital inclusion programs target women who are under-served and marginalized geographically and economically.</w:t>
      </w:r>
    </w:p>
    <w:p w14:paraId="21D904D2" w14:textId="77777777" w:rsidR="00443720" w:rsidRDefault="00443720" w:rsidP="00AD4CC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23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top w:w="101" w:type="dxa"/>
          <w:left w:w="0" w:type="dxa"/>
          <w:bottom w:w="101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  <w:gridCol w:w="2470"/>
        <w:gridCol w:w="2053"/>
        <w:gridCol w:w="2558"/>
      </w:tblGrid>
      <w:tr w:rsidR="00E66370" w:rsidRPr="00443720" w14:paraId="592D4DE8" w14:textId="77777777" w:rsidTr="00443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6" w:type="dxa"/>
            <w:gridSpan w:val="4"/>
            <w:shd w:val="clear" w:color="auto" w:fill="auto"/>
            <w:vAlign w:val="center"/>
          </w:tcPr>
          <w:p w14:paraId="0458AE8F" w14:textId="57180271" w:rsidR="00E66370" w:rsidRPr="00443720" w:rsidRDefault="00113DB3" w:rsidP="00443720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</w:t>
            </w:r>
            <w:r w:rsidR="00443720" w:rsidRPr="00443720"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</w:p>
        </w:tc>
      </w:tr>
      <w:tr w:rsidR="00E66370" w:rsidRPr="00443720" w14:paraId="66E79FAA" w14:textId="77777777" w:rsidTr="00681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auto"/>
            <w:vAlign w:val="center"/>
          </w:tcPr>
          <w:p w14:paraId="3A12B2B2" w14:textId="4D5EEDB8" w:rsidR="00E66370" w:rsidRPr="00443720" w:rsidRDefault="00D373C4" w:rsidP="00443720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720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2470" w:type="dxa"/>
            <w:shd w:val="clear" w:color="auto" w:fill="auto"/>
            <w:vAlign w:val="center"/>
          </w:tcPr>
          <w:p w14:paraId="7A5E2257" w14:textId="77777777" w:rsidR="00E66370" w:rsidRPr="00443720" w:rsidRDefault="00D373C4" w:rsidP="00443720">
            <w:pPr>
              <w:pStyle w:val="Normal1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720">
              <w:rPr>
                <w:rFonts w:ascii="Times New Roman" w:eastAsia="Times New Roman" w:hAnsi="Times New Roman" w:cs="Times New Roman"/>
                <w:sz w:val="24"/>
                <w:szCs w:val="24"/>
              </w:rPr>
              <w:t>Digital inclusion training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08584EFB" w14:textId="77777777" w:rsidR="00E66370" w:rsidRPr="00443720" w:rsidRDefault="00D373C4" w:rsidP="00443720">
            <w:pPr>
              <w:pStyle w:val="Normal1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437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Training</w:t>
            </w:r>
          </w:p>
        </w:tc>
        <w:tc>
          <w:tcPr>
            <w:tcW w:w="2558" w:type="dxa"/>
            <w:shd w:val="clear" w:color="auto" w:fill="auto"/>
            <w:vAlign w:val="center"/>
          </w:tcPr>
          <w:p w14:paraId="3EDAB1E6" w14:textId="1C8BE07D" w:rsidR="00E66370" w:rsidRPr="00443720" w:rsidRDefault="00D373C4" w:rsidP="00443720">
            <w:pPr>
              <w:pStyle w:val="Normal1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</w:t>
            </w:r>
            <w:r w:rsidR="00113DB3" w:rsidRPr="00443720">
              <w:rPr>
                <w:rFonts w:ascii="Times New Roman" w:eastAsia="Times New Roman" w:hAnsi="Times New Roman" w:cs="Times New Roman"/>
                <w:sz w:val="24"/>
                <w:szCs w:val="24"/>
              </w:rPr>
              <w:t>hours</w:t>
            </w:r>
            <w:r w:rsidRPr="00443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digital literacy program, 8 </w:t>
            </w:r>
            <w:r w:rsidR="00113DB3" w:rsidRPr="00443720">
              <w:rPr>
                <w:rFonts w:ascii="Times New Roman" w:eastAsia="Times New Roman" w:hAnsi="Times New Roman" w:cs="Times New Roman"/>
                <w:sz w:val="24"/>
                <w:szCs w:val="24"/>
              </w:rPr>
              <w:t>hours</w:t>
            </w:r>
            <w:r w:rsidRPr="00443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financial education, 12 hours of entrepreneurship</w:t>
            </w:r>
          </w:p>
        </w:tc>
      </w:tr>
      <w:tr w:rsidR="00443720" w:rsidRPr="00443720" w14:paraId="5BFD52BC" w14:textId="77777777" w:rsidTr="00681C4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auto"/>
            <w:vAlign w:val="center"/>
          </w:tcPr>
          <w:p w14:paraId="1AA88352" w14:textId="09A558CB" w:rsidR="00443720" w:rsidRPr="00443720" w:rsidRDefault="00681C4B" w:rsidP="00443720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 p</w:t>
            </w:r>
            <w:r w:rsidR="00443720" w:rsidRPr="00443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rogram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470" w:type="dxa"/>
            <w:shd w:val="clear" w:color="auto" w:fill="auto"/>
            <w:vAlign w:val="center"/>
          </w:tcPr>
          <w:p w14:paraId="4DC28F05" w14:textId="4402D20D" w:rsidR="00443720" w:rsidRPr="00443720" w:rsidRDefault="00443720" w:rsidP="00443720">
            <w:pPr>
              <w:pStyle w:val="Normal1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February 2016 </w:t>
            </w:r>
            <w:r w:rsidR="00681C4B">
              <w:rPr>
                <w:rFonts w:ascii="Times New Roman" w:eastAsia="Times New Roman" w:hAnsi="Times New Roman" w:cs="Times New Roman"/>
                <w:sz w:val="24"/>
                <w:szCs w:val="24"/>
              </w:rPr>
              <w:t>(-</w:t>
            </w:r>
            <w:r w:rsidRPr="00443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January 2018</w:t>
            </w:r>
            <w:r w:rsidR="00681C4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bookmarkStart w:id="0" w:name="_GoBack"/>
            <w:bookmarkEnd w:id="0"/>
          </w:p>
        </w:tc>
        <w:tc>
          <w:tcPr>
            <w:tcW w:w="2053" w:type="dxa"/>
            <w:shd w:val="clear" w:color="auto" w:fill="auto"/>
            <w:vAlign w:val="center"/>
          </w:tcPr>
          <w:p w14:paraId="3BF58F6E" w14:textId="77777777" w:rsidR="00443720" w:rsidRPr="00443720" w:rsidRDefault="00443720" w:rsidP="00443720">
            <w:pPr>
              <w:pStyle w:val="Normal1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437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Cost to users</w:t>
            </w:r>
          </w:p>
        </w:tc>
        <w:tc>
          <w:tcPr>
            <w:tcW w:w="2558" w:type="dxa"/>
            <w:shd w:val="clear" w:color="auto" w:fill="auto"/>
            <w:vAlign w:val="center"/>
          </w:tcPr>
          <w:p w14:paraId="568C35EB" w14:textId="77777777" w:rsidR="00443720" w:rsidRPr="00443720" w:rsidRDefault="00443720" w:rsidP="00443720">
            <w:pPr>
              <w:pStyle w:val="Normal1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720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</w:tr>
      <w:tr w:rsidR="00443720" w:rsidRPr="00443720" w14:paraId="20C36D4A" w14:textId="77777777" w:rsidTr="00681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auto"/>
            <w:vAlign w:val="center"/>
          </w:tcPr>
          <w:p w14:paraId="205BD263" w14:textId="4277DCF4" w:rsidR="00443720" w:rsidRPr="00443720" w:rsidRDefault="00443720" w:rsidP="00443720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720">
              <w:rPr>
                <w:rFonts w:ascii="Times New Roman" w:eastAsia="Times New Roman" w:hAnsi="Times New Roman" w:cs="Times New Roman"/>
                <w:sz w:val="24"/>
                <w:szCs w:val="24"/>
              </w:rPr>
              <w:t>Geography</w:t>
            </w:r>
          </w:p>
        </w:tc>
        <w:tc>
          <w:tcPr>
            <w:tcW w:w="2470" w:type="dxa"/>
            <w:shd w:val="clear" w:color="auto" w:fill="auto"/>
            <w:vAlign w:val="center"/>
          </w:tcPr>
          <w:p w14:paraId="7DA2DC81" w14:textId="19D08D57" w:rsidR="00443720" w:rsidRPr="00443720" w:rsidRDefault="0038648D" w:rsidP="0038648D">
            <w:pPr>
              <w:pStyle w:val="Normal1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Rural –  </w:t>
            </w:r>
            <w:r w:rsidR="00443720" w:rsidRPr="00443720">
              <w:rPr>
                <w:rFonts w:ascii="Times New Roman" w:eastAsia="Times New Roman" w:hAnsi="Times New Roman" w:cs="Times New Roman"/>
                <w:sz w:val="24"/>
                <w:szCs w:val="24"/>
              </w:rPr>
              <w:t>San Martin, Huanuco, Ucuyali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6BF23812" w14:textId="77777777" w:rsidR="00443720" w:rsidRPr="00443720" w:rsidRDefault="00443720" w:rsidP="00443720">
            <w:pPr>
              <w:pStyle w:val="Normal1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437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cost of program</w:t>
            </w:r>
          </w:p>
        </w:tc>
        <w:tc>
          <w:tcPr>
            <w:tcW w:w="2558" w:type="dxa"/>
            <w:shd w:val="clear" w:color="auto" w:fill="auto"/>
            <w:vAlign w:val="center"/>
          </w:tcPr>
          <w:p w14:paraId="465E0A71" w14:textId="771F187E" w:rsidR="00443720" w:rsidRPr="00443720" w:rsidRDefault="00443720" w:rsidP="00443720">
            <w:pPr>
              <w:pStyle w:val="Normal1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720">
              <w:rPr>
                <w:rFonts w:ascii="Times New Roman" w:eastAsia="Times New Roman" w:hAnsi="Times New Roman" w:cs="Times New Roman"/>
                <w:sz w:val="24"/>
                <w:szCs w:val="24"/>
              </w:rPr>
              <w:t>US$ 30 million</w:t>
            </w:r>
          </w:p>
        </w:tc>
      </w:tr>
      <w:tr w:rsidR="00443720" w:rsidRPr="00443720" w14:paraId="3F748FA5" w14:textId="77777777" w:rsidTr="00681C4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auto"/>
            <w:vAlign w:val="center"/>
          </w:tcPr>
          <w:p w14:paraId="04447A5E" w14:textId="77777777" w:rsidR="00443720" w:rsidRPr="00443720" w:rsidRDefault="00443720" w:rsidP="00443720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720">
              <w:rPr>
                <w:rFonts w:ascii="Times New Roman" w:eastAsia="Times New Roman" w:hAnsi="Times New Roman" w:cs="Times New Roman"/>
                <w:sz w:val="24"/>
                <w:szCs w:val="24"/>
              </w:rPr>
              <w:t>User profile</w:t>
            </w:r>
          </w:p>
        </w:tc>
        <w:tc>
          <w:tcPr>
            <w:tcW w:w="2470" w:type="dxa"/>
            <w:shd w:val="clear" w:color="auto" w:fill="auto"/>
            <w:vAlign w:val="center"/>
          </w:tcPr>
          <w:p w14:paraId="52170A64" w14:textId="77777777" w:rsidR="00443720" w:rsidRPr="00443720" w:rsidRDefault="00443720" w:rsidP="00443720">
            <w:pPr>
              <w:pStyle w:val="Normal1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720">
              <w:rPr>
                <w:rFonts w:ascii="Times New Roman" w:eastAsia="Times New Roman" w:hAnsi="Times New Roman" w:cs="Times New Roman"/>
                <w:sz w:val="24"/>
                <w:szCs w:val="24"/>
              </w:rPr>
              <w:t>18-55 years old women, mainly primary school graduates</w:t>
            </w:r>
          </w:p>
        </w:tc>
        <w:tc>
          <w:tcPr>
            <w:tcW w:w="2053" w:type="dxa"/>
            <w:shd w:val="clear" w:color="auto" w:fill="auto"/>
            <w:vAlign w:val="center"/>
          </w:tcPr>
          <w:p w14:paraId="58F6788A" w14:textId="3DD5C7CE" w:rsidR="00443720" w:rsidRPr="00443720" w:rsidRDefault="00443720" w:rsidP="00443720">
            <w:pPr>
              <w:pStyle w:val="Normal1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437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Associated organizations</w:t>
            </w:r>
          </w:p>
        </w:tc>
        <w:tc>
          <w:tcPr>
            <w:tcW w:w="2558" w:type="dxa"/>
            <w:shd w:val="clear" w:color="auto" w:fill="auto"/>
            <w:vAlign w:val="center"/>
          </w:tcPr>
          <w:p w14:paraId="4C85B717" w14:textId="60D0EFB9" w:rsidR="00443720" w:rsidRPr="00443720" w:rsidRDefault="00443720" w:rsidP="00443720">
            <w:pPr>
              <w:pStyle w:val="Normal1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720">
              <w:rPr>
                <w:rFonts w:ascii="Times New Roman" w:eastAsia="Times New Roman" w:hAnsi="Times New Roman" w:cs="Times New Roman"/>
                <w:sz w:val="24"/>
                <w:szCs w:val="24"/>
              </w:rPr>
              <w:t>Cisco,</w:t>
            </w:r>
          </w:p>
          <w:p w14:paraId="32ACAB27" w14:textId="0322EF04" w:rsidR="00443720" w:rsidRPr="00443720" w:rsidRDefault="00443720" w:rsidP="00443720">
            <w:pPr>
              <w:pStyle w:val="Normal1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720">
              <w:rPr>
                <w:rFonts w:ascii="Times New Roman" w:eastAsia="Times New Roman" w:hAnsi="Times New Roman" w:cs="Times New Roman"/>
                <w:sz w:val="24"/>
                <w:szCs w:val="24"/>
              </w:rPr>
              <w:t>Intel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40CDBD75" w14:textId="6E380ED8" w:rsidR="00443720" w:rsidRPr="00443720" w:rsidRDefault="00443720" w:rsidP="00443720">
            <w:pPr>
              <w:pStyle w:val="Normal1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720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2FEA02A7" w14:textId="05474D86" w:rsidR="00443720" w:rsidRPr="00443720" w:rsidRDefault="00443720" w:rsidP="00443720">
            <w:pPr>
              <w:pStyle w:val="Normal1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720">
              <w:rPr>
                <w:rFonts w:ascii="Times New Roman" w:eastAsia="Times New Roman" w:hAnsi="Times New Roman" w:cs="Times New Roman"/>
                <w:sz w:val="24"/>
                <w:szCs w:val="24"/>
              </w:rPr>
              <w:t>USAID</w:t>
            </w:r>
          </w:p>
        </w:tc>
      </w:tr>
    </w:tbl>
    <w:p w14:paraId="75B771A6" w14:textId="236A00C2" w:rsidR="00E66370" w:rsidRPr="00AD4CC9" w:rsidRDefault="00113DB3" w:rsidP="0038648D">
      <w:pPr>
        <w:pStyle w:val="Heading1"/>
        <w:rPr>
          <w:b/>
        </w:rPr>
      </w:pPr>
      <w:r>
        <w:t>Progress and R</w:t>
      </w:r>
      <w:r w:rsidRPr="00AD4CC9">
        <w:t>esults</w:t>
      </w:r>
    </w:p>
    <w:p w14:paraId="3F1662BD" w14:textId="20602EB6" w:rsidR="00E66370" w:rsidRPr="00AD4CC9" w:rsidRDefault="00D373C4" w:rsidP="00AD4CC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4CC9">
        <w:rPr>
          <w:rFonts w:ascii="Times New Roman" w:eastAsia="Times New Roman" w:hAnsi="Times New Roman" w:cs="Times New Roman"/>
          <w:sz w:val="24"/>
          <w:szCs w:val="24"/>
        </w:rPr>
        <w:t xml:space="preserve">The program </w:t>
      </w:r>
      <w:r w:rsidR="00775B85">
        <w:rPr>
          <w:rFonts w:ascii="Times New Roman" w:eastAsia="Times New Roman" w:hAnsi="Times New Roman" w:cs="Times New Roman"/>
          <w:sz w:val="24"/>
          <w:szCs w:val="24"/>
        </w:rPr>
        <w:t>operates</w:t>
      </w:r>
      <w:r w:rsidRPr="00AD4CC9">
        <w:rPr>
          <w:rFonts w:ascii="Times New Roman" w:eastAsia="Times New Roman" w:hAnsi="Times New Roman" w:cs="Times New Roman"/>
          <w:sz w:val="24"/>
          <w:szCs w:val="24"/>
        </w:rPr>
        <w:t xml:space="preserve"> 38 </w:t>
      </w:r>
      <w:r w:rsidR="009A798E" w:rsidRPr="00AD4CC9">
        <w:rPr>
          <w:rFonts w:ascii="Times New Roman" w:eastAsia="Times New Roman" w:hAnsi="Times New Roman" w:cs="Times New Roman"/>
          <w:sz w:val="24"/>
          <w:szCs w:val="24"/>
        </w:rPr>
        <w:t>tech</w:t>
      </w:r>
      <w:r w:rsidR="009A798E">
        <w:rPr>
          <w:rFonts w:ascii="Times New Roman" w:eastAsia="Times New Roman" w:hAnsi="Times New Roman" w:cs="Times New Roman"/>
          <w:sz w:val="24"/>
          <w:szCs w:val="24"/>
        </w:rPr>
        <w:t>nology</w:t>
      </w:r>
      <w:r w:rsidRPr="00AD4CC9">
        <w:rPr>
          <w:rFonts w:ascii="Times New Roman" w:eastAsia="Times New Roman" w:hAnsi="Times New Roman" w:cs="Times New Roman"/>
          <w:sz w:val="24"/>
          <w:szCs w:val="24"/>
        </w:rPr>
        <w:t xml:space="preserve"> centers equipped with </w:t>
      </w:r>
      <w:r w:rsidR="009A798E" w:rsidRPr="00AD4CC9">
        <w:rPr>
          <w:rFonts w:ascii="Times New Roman" w:eastAsia="Times New Roman" w:hAnsi="Times New Roman" w:cs="Times New Roman"/>
          <w:sz w:val="24"/>
          <w:szCs w:val="24"/>
        </w:rPr>
        <w:t>Wi-Fi</w:t>
      </w:r>
      <w:r w:rsidR="009A798E">
        <w:rPr>
          <w:rFonts w:ascii="Times New Roman" w:eastAsia="Times New Roman" w:hAnsi="Times New Roman" w:cs="Times New Roman"/>
          <w:sz w:val="24"/>
          <w:szCs w:val="24"/>
        </w:rPr>
        <w:t xml:space="preserve"> and eight-to-</w:t>
      </w:r>
      <w:r w:rsidRPr="00AD4CC9">
        <w:rPr>
          <w:rFonts w:ascii="Times New Roman" w:eastAsia="Times New Roman" w:hAnsi="Times New Roman" w:cs="Times New Roman"/>
          <w:sz w:val="24"/>
          <w:szCs w:val="24"/>
        </w:rPr>
        <w:t>10 computers each, in</w:t>
      </w:r>
      <w:r w:rsidR="00443720">
        <w:rPr>
          <w:rFonts w:ascii="Times New Roman" w:eastAsia="Times New Roman" w:hAnsi="Times New Roman" w:cs="Times New Roman"/>
          <w:sz w:val="24"/>
          <w:szCs w:val="24"/>
        </w:rPr>
        <w:t xml:space="preserve"> the cities of</w:t>
      </w:r>
      <w:r w:rsidRPr="00AD4CC9">
        <w:rPr>
          <w:rFonts w:ascii="Times New Roman" w:eastAsia="Times New Roman" w:hAnsi="Times New Roman" w:cs="Times New Roman"/>
          <w:sz w:val="24"/>
          <w:szCs w:val="24"/>
        </w:rPr>
        <w:t xml:space="preserve"> San </w:t>
      </w:r>
      <w:r w:rsidR="009A798E" w:rsidRPr="00AD4CC9">
        <w:rPr>
          <w:rFonts w:ascii="Times New Roman" w:eastAsia="Times New Roman" w:hAnsi="Times New Roman" w:cs="Times New Roman"/>
          <w:sz w:val="24"/>
          <w:szCs w:val="24"/>
        </w:rPr>
        <w:t>Martin, Huanuco, and Ucuyali.</w:t>
      </w:r>
      <w:r w:rsidR="00443720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AD4CC9">
        <w:rPr>
          <w:rFonts w:ascii="Times New Roman" w:eastAsia="Times New Roman" w:hAnsi="Times New Roman" w:cs="Times New Roman"/>
          <w:sz w:val="24"/>
          <w:szCs w:val="24"/>
        </w:rPr>
        <w:t>he site has 29,000 unique users, and 30,000 followers on social media.</w:t>
      </w:r>
    </w:p>
    <w:p w14:paraId="58D6C453" w14:textId="1FD2B591" w:rsidR="00E66370" w:rsidRPr="00AD4CC9" w:rsidRDefault="00D373C4" w:rsidP="00AD4CC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4CC9">
        <w:rPr>
          <w:rFonts w:ascii="Times New Roman" w:eastAsia="Times New Roman" w:hAnsi="Times New Roman" w:cs="Times New Roman"/>
          <w:sz w:val="24"/>
          <w:szCs w:val="24"/>
        </w:rPr>
        <w:t>The program monitors its im</w:t>
      </w:r>
      <w:r w:rsidR="00BD6ADC">
        <w:rPr>
          <w:rFonts w:ascii="Times New Roman" w:eastAsia="Times New Roman" w:hAnsi="Times New Roman" w:cs="Times New Roman"/>
          <w:sz w:val="24"/>
          <w:szCs w:val="24"/>
        </w:rPr>
        <w:t xml:space="preserve">pact with user surveys, where 95 percent of users report </w:t>
      </w:r>
      <w:r w:rsidRPr="00AD4CC9">
        <w:rPr>
          <w:rFonts w:ascii="Times New Roman" w:eastAsia="Times New Roman" w:hAnsi="Times New Roman" w:cs="Times New Roman"/>
          <w:sz w:val="24"/>
          <w:szCs w:val="24"/>
        </w:rPr>
        <w:t>that they use ICT</w:t>
      </w:r>
      <w:r w:rsidR="00BD6AD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D4CC9">
        <w:rPr>
          <w:rFonts w:ascii="Times New Roman" w:eastAsia="Times New Roman" w:hAnsi="Times New Roman" w:cs="Times New Roman"/>
          <w:sz w:val="24"/>
          <w:szCs w:val="24"/>
        </w:rPr>
        <w:t xml:space="preserve"> in their daily lives and are satisfied with the service. </w:t>
      </w:r>
      <w:r w:rsidR="00BD6ADC">
        <w:rPr>
          <w:rFonts w:ascii="Times New Roman" w:eastAsia="Times New Roman" w:hAnsi="Times New Roman" w:cs="Times New Roman"/>
          <w:sz w:val="24"/>
          <w:szCs w:val="24"/>
        </w:rPr>
        <w:t>Moreover, 85 percent</w:t>
      </w:r>
      <w:r w:rsidRPr="00AD4CC9">
        <w:rPr>
          <w:rFonts w:ascii="Times New Roman" w:eastAsia="Times New Roman" w:hAnsi="Times New Roman" w:cs="Times New Roman"/>
          <w:sz w:val="24"/>
          <w:szCs w:val="24"/>
        </w:rPr>
        <w:t xml:space="preserve"> of women trained report changes in their financial wellness and leadership capacity.</w:t>
      </w:r>
    </w:p>
    <w:p w14:paraId="27788504" w14:textId="4E280F8C" w:rsidR="009A798E" w:rsidRPr="00AD4CC9" w:rsidRDefault="00D373C4" w:rsidP="00AD4CC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4CC9">
        <w:rPr>
          <w:rFonts w:ascii="Times New Roman" w:eastAsia="Times New Roman" w:hAnsi="Times New Roman" w:cs="Times New Roman"/>
          <w:sz w:val="24"/>
          <w:szCs w:val="24"/>
        </w:rPr>
        <w:t>The program has developed a successful model for sustainability. After programs are developed and initiated, they are transferred to</w:t>
      </w:r>
      <w:r w:rsidR="00775B85">
        <w:rPr>
          <w:rFonts w:ascii="Times New Roman" w:eastAsia="Times New Roman" w:hAnsi="Times New Roman" w:cs="Times New Roman"/>
          <w:sz w:val="24"/>
          <w:szCs w:val="24"/>
        </w:rPr>
        <w:t xml:space="preserve"> local governments, Comit</w:t>
      </w:r>
      <w:r w:rsidR="00775B85" w:rsidRPr="00AD4CC9">
        <w:rPr>
          <w:rFonts w:ascii="Times New Roman" w:eastAsia="Times New Roman" w:hAnsi="Times New Roman" w:cs="Times New Roman"/>
          <w:sz w:val="24"/>
          <w:szCs w:val="24"/>
        </w:rPr>
        <w:t>é</w:t>
      </w:r>
      <w:r w:rsidR="00775B85">
        <w:rPr>
          <w:rFonts w:ascii="Times New Roman" w:eastAsia="Times New Roman" w:hAnsi="Times New Roman" w:cs="Times New Roman"/>
          <w:sz w:val="24"/>
          <w:szCs w:val="24"/>
        </w:rPr>
        <w:t>s de A</w:t>
      </w:r>
      <w:r w:rsidRPr="00AD4CC9">
        <w:rPr>
          <w:rFonts w:ascii="Times New Roman" w:eastAsia="Times New Roman" w:hAnsi="Times New Roman" w:cs="Times New Roman"/>
          <w:sz w:val="24"/>
          <w:szCs w:val="24"/>
        </w:rPr>
        <w:t>liados, financial r</w:t>
      </w:r>
      <w:r w:rsidR="00443720">
        <w:rPr>
          <w:rFonts w:ascii="Times New Roman" w:eastAsia="Times New Roman" w:hAnsi="Times New Roman" w:cs="Times New Roman"/>
          <w:sz w:val="24"/>
          <w:szCs w:val="24"/>
        </w:rPr>
        <w:t>eplicat</w:t>
      </w:r>
      <w:r w:rsidRPr="00AD4CC9">
        <w:rPr>
          <w:rFonts w:ascii="Times New Roman" w:eastAsia="Times New Roman" w:hAnsi="Times New Roman" w:cs="Times New Roman"/>
          <w:sz w:val="24"/>
          <w:szCs w:val="24"/>
        </w:rPr>
        <w:t>ors, and women themselves.</w:t>
      </w:r>
      <w:r w:rsidR="00775B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798E" w:rsidRPr="00AD4CC9">
        <w:rPr>
          <w:rFonts w:ascii="Times New Roman" w:eastAsia="Times New Roman" w:hAnsi="Times New Roman" w:cs="Times New Roman"/>
          <w:sz w:val="24"/>
          <w:szCs w:val="24"/>
        </w:rPr>
        <w:t>The Comités de Pobladores supports the implementation b</w:t>
      </w:r>
      <w:r w:rsidR="00775B85">
        <w:rPr>
          <w:rFonts w:ascii="Times New Roman" w:eastAsia="Times New Roman" w:hAnsi="Times New Roman" w:cs="Times New Roman"/>
          <w:sz w:val="24"/>
          <w:szCs w:val="24"/>
        </w:rPr>
        <w:t>eyond the intervention of USAID, and s</w:t>
      </w:r>
      <w:r w:rsidR="009A798E" w:rsidRPr="00AD4CC9">
        <w:rPr>
          <w:rFonts w:ascii="Times New Roman" w:eastAsia="Times New Roman" w:hAnsi="Times New Roman" w:cs="Times New Roman"/>
          <w:sz w:val="24"/>
          <w:szCs w:val="24"/>
        </w:rPr>
        <w:t>upport is maintained through two teleconferences held each month in each region</w:t>
      </w:r>
      <w:r w:rsidR="00BD6A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88E88B" w14:textId="77777777" w:rsidR="00E66370" w:rsidRPr="00AD4CC9" w:rsidRDefault="00D373C4" w:rsidP="0038648D">
      <w:pPr>
        <w:pStyle w:val="Heading1"/>
        <w:rPr>
          <w:b/>
        </w:rPr>
      </w:pPr>
      <w:r w:rsidRPr="00AD4CC9">
        <w:lastRenderedPageBreak/>
        <w:t>Challenges</w:t>
      </w:r>
    </w:p>
    <w:p w14:paraId="194E0639" w14:textId="36EF712F" w:rsidR="00E66370" w:rsidRPr="00AD4CC9" w:rsidRDefault="00443720" w:rsidP="00AD4CC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Low take-up </w:t>
      </w:r>
      <w:r w:rsidR="00113DB3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="00D373C4" w:rsidRPr="00AD4CC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373C4" w:rsidRPr="00AD4CC9">
        <w:rPr>
          <w:rFonts w:ascii="Times New Roman" w:eastAsia="Times New Roman" w:hAnsi="Times New Roman" w:cs="Times New Roman"/>
          <w:sz w:val="24"/>
          <w:szCs w:val="24"/>
        </w:rPr>
        <w:t>Support for the program is strong among the women who have participated, but adoption and user acquisition rema</w:t>
      </w:r>
      <w:r w:rsidR="00930993">
        <w:rPr>
          <w:rFonts w:ascii="Times New Roman" w:eastAsia="Times New Roman" w:hAnsi="Times New Roman" w:cs="Times New Roman"/>
          <w:sz w:val="24"/>
          <w:szCs w:val="24"/>
        </w:rPr>
        <w:t xml:space="preserve">in challenging. Advertising </w:t>
      </w:r>
      <w:r w:rsidR="00D373C4" w:rsidRPr="00AD4CC9">
        <w:rPr>
          <w:rFonts w:ascii="Times New Roman" w:eastAsia="Times New Roman" w:hAnsi="Times New Roman" w:cs="Times New Roman"/>
          <w:sz w:val="24"/>
          <w:szCs w:val="24"/>
        </w:rPr>
        <w:t>the program has limited impact on change</w:t>
      </w:r>
      <w:r w:rsidR="00930993">
        <w:rPr>
          <w:rFonts w:ascii="Times New Roman" w:eastAsia="Times New Roman" w:hAnsi="Times New Roman" w:cs="Times New Roman"/>
          <w:sz w:val="24"/>
          <w:szCs w:val="24"/>
        </w:rPr>
        <w:t>s</w:t>
      </w:r>
      <w:r w:rsidR="00D373C4" w:rsidRPr="00AD4CC9">
        <w:rPr>
          <w:rFonts w:ascii="Times New Roman" w:eastAsia="Times New Roman" w:hAnsi="Times New Roman" w:cs="Times New Roman"/>
          <w:sz w:val="24"/>
          <w:szCs w:val="24"/>
        </w:rPr>
        <w:t xml:space="preserve"> in behavior</w:t>
      </w:r>
      <w:r w:rsidR="00930993">
        <w:rPr>
          <w:rFonts w:ascii="Times New Roman" w:eastAsia="Times New Roman" w:hAnsi="Times New Roman" w:cs="Times New Roman"/>
          <w:sz w:val="24"/>
          <w:szCs w:val="24"/>
        </w:rPr>
        <w:t xml:space="preserve"> as well, as it has been</w:t>
      </w:r>
      <w:r w:rsidR="00D373C4" w:rsidRPr="00AD4CC9">
        <w:rPr>
          <w:rFonts w:ascii="Times New Roman" w:eastAsia="Times New Roman" w:hAnsi="Times New Roman" w:cs="Times New Roman"/>
          <w:sz w:val="24"/>
          <w:szCs w:val="24"/>
        </w:rPr>
        <w:t xml:space="preserve"> difficult to convincingly convey to women the potential benefits of the program on their life quality and financial stability.</w:t>
      </w:r>
    </w:p>
    <w:p w14:paraId="6151777F" w14:textId="086CC1F5" w:rsidR="00E66370" w:rsidRPr="00AD4CC9" w:rsidRDefault="00443720" w:rsidP="00AD4CC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Coordination challenges </w:t>
      </w:r>
      <w:r w:rsidR="00113DB3">
        <w:rPr>
          <w:rFonts w:ascii="Times New Roman" w:eastAsia="Times New Roman" w:hAnsi="Times New Roman" w:cs="Times New Roman"/>
          <w:b/>
          <w:sz w:val="24"/>
          <w:szCs w:val="24"/>
        </w:rPr>
        <w:t xml:space="preserve">– </w:t>
      </w:r>
      <w:r w:rsidR="00D373C4" w:rsidRPr="00AD4CC9">
        <w:rPr>
          <w:rFonts w:ascii="Times New Roman" w:eastAsia="Times New Roman" w:hAnsi="Times New Roman" w:cs="Times New Roman"/>
          <w:sz w:val="24"/>
          <w:szCs w:val="24"/>
        </w:rPr>
        <w:t>While the program has a strong model for sustainability in place, it involves the initiative and cooperation of many different parties. It can be difficult to coordinate the efforts of the various</w:t>
      </w:r>
      <w:r w:rsidR="00930993">
        <w:rPr>
          <w:rFonts w:ascii="Times New Roman" w:eastAsia="Times New Roman" w:hAnsi="Times New Roman" w:cs="Times New Roman"/>
          <w:sz w:val="24"/>
          <w:szCs w:val="24"/>
        </w:rPr>
        <w:t xml:space="preserve"> government</w:t>
      </w:r>
      <w:r w:rsidR="00D373C4" w:rsidRPr="00AD4CC9">
        <w:rPr>
          <w:rFonts w:ascii="Times New Roman" w:eastAsia="Times New Roman" w:hAnsi="Times New Roman" w:cs="Times New Roman"/>
          <w:sz w:val="24"/>
          <w:szCs w:val="24"/>
        </w:rPr>
        <w:t xml:space="preserve"> ministries and persons involved to keep the project going, despite its demonstrably positive outcomes.</w:t>
      </w:r>
    </w:p>
    <w:p w14:paraId="0D622539" w14:textId="34671CCD" w:rsidR="00E66370" w:rsidRPr="00AD4CC9" w:rsidRDefault="00443720" w:rsidP="00AD4CC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Rigid social norms on gender roles </w:t>
      </w:r>
      <w:r w:rsidR="00113DB3">
        <w:rPr>
          <w:rFonts w:ascii="Times New Roman" w:eastAsia="Times New Roman" w:hAnsi="Times New Roman" w:cs="Times New Roman"/>
          <w:b/>
          <w:sz w:val="24"/>
          <w:szCs w:val="24"/>
        </w:rPr>
        <w:t xml:space="preserve">– </w:t>
      </w:r>
      <w:r w:rsidR="00D373C4" w:rsidRPr="00AD4CC9">
        <w:rPr>
          <w:rFonts w:ascii="Times New Roman" w:eastAsia="Times New Roman" w:hAnsi="Times New Roman" w:cs="Times New Roman"/>
          <w:sz w:val="24"/>
          <w:szCs w:val="24"/>
        </w:rPr>
        <w:t xml:space="preserve">The program is designed to empower women in a social system in which men are in control. Husbands are consequently often resistant to the idea of their wives participating in </w:t>
      </w:r>
      <w:r w:rsidR="00930993" w:rsidRPr="00AD4CC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8648D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D373C4" w:rsidRPr="00AD4CC9">
        <w:rPr>
          <w:rFonts w:ascii="Times New Roman" w:eastAsia="Times New Roman" w:hAnsi="Times New Roman" w:cs="Times New Roman"/>
          <w:sz w:val="24"/>
          <w:szCs w:val="24"/>
        </w:rPr>
        <w:t xml:space="preserve"> and are resistant to the larger concept of their wives having autonomous control over family finances.</w:t>
      </w:r>
    </w:p>
    <w:p w14:paraId="093AA645" w14:textId="786E4660" w:rsidR="00E66370" w:rsidRPr="00AD4CC9" w:rsidRDefault="00AD4CC9" w:rsidP="0038648D">
      <w:pPr>
        <w:pStyle w:val="Heading1"/>
        <w:rPr>
          <w:b/>
        </w:rPr>
      </w:pPr>
      <w:r>
        <w:t>CEDRO’</w:t>
      </w:r>
      <w:r w:rsidR="00D373C4" w:rsidRPr="00AD4CC9">
        <w:t>s</w:t>
      </w:r>
      <w:r>
        <w:t xml:space="preserve"> Suggestions for Future Projects</w:t>
      </w:r>
    </w:p>
    <w:p w14:paraId="2A095F23" w14:textId="68B8A0B4" w:rsidR="00E66370" w:rsidRPr="00AD4CC9" w:rsidRDefault="00D373C4" w:rsidP="00AD4CC9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4CC9">
        <w:rPr>
          <w:rFonts w:ascii="Times New Roman" w:eastAsia="Times New Roman" w:hAnsi="Times New Roman" w:cs="Times New Roman"/>
          <w:b/>
          <w:sz w:val="24"/>
          <w:szCs w:val="24"/>
        </w:rPr>
        <w:t>Pr</w:t>
      </w:r>
      <w:r w:rsidR="00443720">
        <w:rPr>
          <w:rFonts w:ascii="Times New Roman" w:eastAsia="Times New Roman" w:hAnsi="Times New Roman" w:cs="Times New Roman"/>
          <w:b/>
          <w:sz w:val="24"/>
          <w:szCs w:val="24"/>
        </w:rPr>
        <w:t>ivate sector contribution is useful and should be actively solicited in order to ensure sustainability</w:t>
      </w:r>
      <w:r w:rsidR="00AD4CC9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Pr="00AD4CC9">
        <w:rPr>
          <w:rFonts w:ascii="Times New Roman" w:eastAsia="Times New Roman" w:hAnsi="Times New Roman" w:cs="Times New Roman"/>
          <w:sz w:val="24"/>
          <w:szCs w:val="24"/>
        </w:rPr>
        <w:t>Donated licenses, software, hardware, and electronics from private sector tech</w:t>
      </w:r>
      <w:r w:rsidR="00113DB3">
        <w:rPr>
          <w:rFonts w:ascii="Times New Roman" w:eastAsia="Times New Roman" w:hAnsi="Times New Roman" w:cs="Times New Roman"/>
          <w:sz w:val="24"/>
          <w:szCs w:val="24"/>
        </w:rPr>
        <w:t>nology</w:t>
      </w:r>
      <w:r w:rsidRPr="00AD4CC9">
        <w:rPr>
          <w:rFonts w:ascii="Times New Roman" w:eastAsia="Times New Roman" w:hAnsi="Times New Roman" w:cs="Times New Roman"/>
          <w:sz w:val="24"/>
          <w:szCs w:val="24"/>
        </w:rPr>
        <w:t xml:space="preserve"> companies make initiatives like these possible.</w:t>
      </w:r>
      <w:r w:rsidR="00443720">
        <w:rPr>
          <w:rFonts w:ascii="Times New Roman" w:eastAsia="Times New Roman" w:hAnsi="Times New Roman" w:cs="Times New Roman"/>
          <w:sz w:val="24"/>
          <w:szCs w:val="24"/>
        </w:rPr>
        <w:t xml:space="preserve"> Further, the ability of corporate social responsibility initiatives to fund such initiatives makes them a natural collaborative partner to advance mutually beneficial outcomes.</w:t>
      </w:r>
    </w:p>
    <w:p w14:paraId="449392CA" w14:textId="77777777" w:rsidR="00E66370" w:rsidRPr="00AD4CC9" w:rsidRDefault="00D373C4" w:rsidP="0038648D">
      <w:pPr>
        <w:pStyle w:val="Heading1"/>
        <w:rPr>
          <w:b/>
        </w:rPr>
      </w:pPr>
      <w:r w:rsidRPr="00AD4CC9">
        <w:t>Sources</w:t>
      </w:r>
    </w:p>
    <w:p w14:paraId="66C9D938" w14:textId="77777777" w:rsidR="00443720" w:rsidRPr="00443720" w:rsidRDefault="00443720" w:rsidP="00443720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720">
        <w:rPr>
          <w:rFonts w:ascii="Times New Roman" w:eastAsia="Times New Roman" w:hAnsi="Times New Roman" w:cs="Times New Roman"/>
          <w:sz w:val="24"/>
          <w:szCs w:val="24"/>
        </w:rPr>
        <w:t>Queirolo, C. (2017, November 29) Personal Interview.</w:t>
      </w:r>
    </w:p>
    <w:p w14:paraId="6C731763" w14:textId="6AAF6BDC" w:rsidR="00E66370" w:rsidRPr="00443720" w:rsidRDefault="009B09A5" w:rsidP="00443720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720">
        <w:rPr>
          <w:rFonts w:ascii="Times New Roman" w:eastAsia="Times New Roman" w:hAnsi="Times New Roman" w:cs="Times New Roman"/>
          <w:sz w:val="24"/>
          <w:szCs w:val="24"/>
        </w:rPr>
        <w:t xml:space="preserve">Project website: </w:t>
      </w:r>
      <w:hyperlink r:id="rId8" w:anchor="158" w:history="1">
        <w:r w:rsidR="00AD4CC9" w:rsidRPr="00443720">
          <w:rPr>
            <w:rStyle w:val="Hyperlink"/>
            <w:rFonts w:ascii="Times New Roman" w:eastAsia="Times New Roman" w:hAnsi="Times New Roman" w:cs="Times New Roman"/>
            <w:sz w:val="24"/>
            <w:szCs w:val="24"/>
            <w:u w:val="none"/>
          </w:rPr>
          <w:t>www.cedro.org.pe/#158</w:t>
        </w:r>
      </w:hyperlink>
    </w:p>
    <w:sectPr w:rsidR="00E66370" w:rsidRPr="00443720"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288" w:footer="86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9D64D" w14:textId="77777777" w:rsidR="00306332" w:rsidRDefault="00306332">
      <w:pPr>
        <w:spacing w:after="0" w:line="240" w:lineRule="auto"/>
      </w:pPr>
      <w:r>
        <w:separator/>
      </w:r>
    </w:p>
  </w:endnote>
  <w:endnote w:type="continuationSeparator" w:id="0">
    <w:p w14:paraId="1D14C250" w14:textId="77777777" w:rsidR="00306332" w:rsidRDefault="00306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513257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E49F19" w14:textId="2F3DD7D0" w:rsidR="00443720" w:rsidRDefault="00443720" w:rsidP="00A372A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CBB81" w14:textId="77777777" w:rsidR="00443720" w:rsidRDefault="004437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  <w:sz w:val="24"/>
        <w:szCs w:val="24"/>
      </w:rPr>
      <w:id w:val="-20854493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5E3644" w14:textId="60F17E19" w:rsidR="00443720" w:rsidRPr="00443720" w:rsidRDefault="00443720" w:rsidP="00443720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4"/>
            <w:szCs w:val="24"/>
          </w:rPr>
        </w:pPr>
        <w:r w:rsidRPr="00443720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begin"/>
        </w:r>
        <w:r w:rsidRPr="00443720">
          <w:rPr>
            <w:rStyle w:val="PageNumber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443720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separate"/>
        </w:r>
        <w:r w:rsidRPr="00443720">
          <w:rPr>
            <w:rStyle w:val="PageNumber"/>
            <w:rFonts w:ascii="Times New Roman" w:hAnsi="Times New Roman" w:cs="Times New Roman"/>
            <w:noProof/>
            <w:sz w:val="24"/>
            <w:szCs w:val="24"/>
          </w:rPr>
          <w:t>4</w:t>
        </w:r>
        <w:r w:rsidRPr="00443720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9967397" w14:textId="20CD86A6" w:rsidR="00BD6ADC" w:rsidRDefault="00BD6ADC" w:rsidP="0038648D">
    <w:pPr>
      <w:pStyle w:val="Normal1"/>
      <w:tabs>
        <w:tab w:val="center" w:pos="4680"/>
        <w:tab w:val="right" w:pos="9360"/>
      </w:tabs>
      <w:spacing w:after="0" w:line="240" w:lineRule="auto"/>
      <w:mirrorIndents/>
      <w:jc w:val="center"/>
      <w:rPr>
        <w:sz w:val="36"/>
        <w:szCs w:val="3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3A7DF" w14:textId="6E2BF5C5" w:rsidR="0038648D" w:rsidRPr="0038648D" w:rsidRDefault="0038648D" w:rsidP="0038648D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38648D">
      <w:rPr>
        <w:rFonts w:ascii="Times New Roman" w:hAnsi="Times New Roman" w:cs="Times New Roman"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01426" w14:textId="77777777" w:rsidR="00306332" w:rsidRDefault="00306332">
      <w:pPr>
        <w:spacing w:after="0" w:line="240" w:lineRule="auto"/>
      </w:pPr>
      <w:r>
        <w:separator/>
      </w:r>
    </w:p>
  </w:footnote>
  <w:footnote w:type="continuationSeparator" w:id="0">
    <w:p w14:paraId="26BA118E" w14:textId="77777777" w:rsidR="00306332" w:rsidRDefault="00306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82C55" w14:textId="321DA2D9" w:rsidR="00BD6ADC" w:rsidRDefault="00443720" w:rsidP="00443720">
    <w:pPr>
      <w:pStyle w:val="Normal1"/>
      <w:tabs>
        <w:tab w:val="left" w:pos="6865"/>
      </w:tabs>
      <w:ind w:right="-115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5FD3DD8" wp14:editId="6A94915A">
          <wp:simplePos x="0" y="0"/>
          <wp:positionH relativeFrom="column">
            <wp:posOffset>450850</wp:posOffset>
          </wp:positionH>
          <wp:positionV relativeFrom="paragraph">
            <wp:posOffset>0</wp:posOffset>
          </wp:positionV>
          <wp:extent cx="4826000" cy="952500"/>
          <wp:effectExtent l="0" t="0" r="0" b="0"/>
          <wp:wrapTight wrapText="bothSides">
            <wp:wrapPolygon edited="0">
              <wp:start x="1535" y="0"/>
              <wp:lineTo x="1137" y="576"/>
              <wp:lineTo x="227" y="4032"/>
              <wp:lineTo x="0" y="7776"/>
              <wp:lineTo x="0" y="14112"/>
              <wp:lineTo x="455" y="18432"/>
              <wp:lineTo x="1364" y="21312"/>
              <wp:lineTo x="1535" y="21312"/>
              <wp:lineTo x="2728" y="21312"/>
              <wp:lineTo x="2899" y="21312"/>
              <wp:lineTo x="3752" y="18720"/>
              <wp:lineTo x="21543" y="17856"/>
              <wp:lineTo x="21543" y="13824"/>
              <wp:lineTo x="4320" y="13824"/>
              <wp:lineTo x="21543" y="12384"/>
              <wp:lineTo x="21543" y="4320"/>
              <wp:lineTo x="2728" y="0"/>
              <wp:lineTo x="1535" y="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One-World-Connected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260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70"/>
    <w:rsid w:val="0002713D"/>
    <w:rsid w:val="00113DB3"/>
    <w:rsid w:val="002E112B"/>
    <w:rsid w:val="00306332"/>
    <w:rsid w:val="0038068F"/>
    <w:rsid w:val="0038648D"/>
    <w:rsid w:val="003C650E"/>
    <w:rsid w:val="004412D6"/>
    <w:rsid w:val="00443720"/>
    <w:rsid w:val="004C6BF4"/>
    <w:rsid w:val="004D059E"/>
    <w:rsid w:val="005463B7"/>
    <w:rsid w:val="005E54C2"/>
    <w:rsid w:val="00645FA1"/>
    <w:rsid w:val="006524E8"/>
    <w:rsid w:val="00681C4B"/>
    <w:rsid w:val="006D4C05"/>
    <w:rsid w:val="00775B85"/>
    <w:rsid w:val="008205F4"/>
    <w:rsid w:val="0086086D"/>
    <w:rsid w:val="00930993"/>
    <w:rsid w:val="009A798E"/>
    <w:rsid w:val="009B09A5"/>
    <w:rsid w:val="00AD4CC9"/>
    <w:rsid w:val="00B23F0A"/>
    <w:rsid w:val="00B45F24"/>
    <w:rsid w:val="00B70496"/>
    <w:rsid w:val="00BD15F9"/>
    <w:rsid w:val="00BD6ADC"/>
    <w:rsid w:val="00D373C4"/>
    <w:rsid w:val="00D700A1"/>
    <w:rsid w:val="00DD70F7"/>
    <w:rsid w:val="00E159C7"/>
    <w:rsid w:val="00E26605"/>
    <w:rsid w:val="00E66370"/>
    <w:rsid w:val="00E85C61"/>
    <w:rsid w:val="00E97D38"/>
    <w:rsid w:val="00EF1EF5"/>
    <w:rsid w:val="00FE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E0271D"/>
  <w15:docId w15:val="{73CC77A3-D1F3-FD49-B1E0-9C74BEC4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38648D"/>
    <w:pPr>
      <w:keepNext/>
      <w:keepLines/>
      <w:pBdr>
        <w:bottom w:val="single" w:sz="4" w:space="1" w:color="595959"/>
      </w:pBdr>
      <w:spacing w:before="360" w:after="120" w:line="240" w:lineRule="auto"/>
      <w:ind w:left="432" w:hanging="432"/>
      <w:outlineLvl w:val="0"/>
    </w:pPr>
    <w:rPr>
      <w:rFonts w:ascii="Georgia" w:eastAsia="Georgia" w:hAnsi="Georgia" w:cs="Georgia"/>
      <w:smallCaps/>
      <w:sz w:val="36"/>
      <w:szCs w:val="36"/>
    </w:rPr>
  </w:style>
  <w:style w:type="paragraph" w:styleId="Heading2">
    <w:name w:val="heading 2"/>
    <w:basedOn w:val="Normal1"/>
    <w:next w:val="Normal1"/>
    <w:pPr>
      <w:keepNext/>
      <w:keepLines/>
      <w:spacing w:before="360"/>
      <w:ind w:left="576" w:hanging="576"/>
      <w:outlineLvl w:val="1"/>
    </w:pPr>
    <w:rPr>
      <w:b/>
      <w:smallCaps/>
      <w:sz w:val="28"/>
      <w:szCs w:val="28"/>
    </w:rPr>
  </w:style>
  <w:style w:type="paragraph" w:styleId="Heading3">
    <w:name w:val="heading 3"/>
    <w:basedOn w:val="Normal1"/>
    <w:next w:val="Normal1"/>
    <w:pPr>
      <w:keepNext/>
      <w:keepLines/>
      <w:spacing w:before="200"/>
      <w:ind w:left="720" w:hanging="720"/>
      <w:outlineLvl w:val="2"/>
    </w:pPr>
    <w:rPr>
      <w:b/>
    </w:rPr>
  </w:style>
  <w:style w:type="paragraph" w:styleId="Heading4">
    <w:name w:val="heading 4"/>
    <w:basedOn w:val="Normal1"/>
    <w:next w:val="Normal1"/>
    <w:pPr>
      <w:keepNext/>
      <w:keepLines/>
      <w:spacing w:before="200"/>
      <w:ind w:left="864" w:hanging="864"/>
      <w:outlineLvl w:val="3"/>
    </w:pPr>
    <w:rPr>
      <w:b/>
      <w:i/>
    </w:rPr>
  </w:style>
  <w:style w:type="paragraph" w:styleId="Heading5">
    <w:name w:val="heading 5"/>
    <w:basedOn w:val="Normal1"/>
    <w:next w:val="Normal1"/>
    <w:pPr>
      <w:keepNext/>
      <w:keepLines/>
      <w:spacing w:before="200"/>
      <w:ind w:left="1008" w:hanging="1008"/>
      <w:outlineLvl w:val="4"/>
    </w:pPr>
    <w:rPr>
      <w:color w:val="323E4F"/>
    </w:rPr>
  </w:style>
  <w:style w:type="paragraph" w:styleId="Heading6">
    <w:name w:val="heading 6"/>
    <w:basedOn w:val="Normal1"/>
    <w:next w:val="Normal1"/>
    <w:pPr>
      <w:keepNext/>
      <w:keepLines/>
      <w:spacing w:before="200"/>
      <w:ind w:left="1152" w:hanging="1152"/>
      <w:outlineLvl w:val="5"/>
    </w:pPr>
    <w:rPr>
      <w:i/>
      <w:color w:val="323E4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contextualSpacing/>
    </w:pPr>
    <w:rPr>
      <w:sz w:val="56"/>
      <w:szCs w:val="56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D4C0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C05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645FA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EastAsia" w:hAnsiTheme="minorHAnsi" w:cstheme="minorBidi"/>
      <w:color w:val="auto"/>
      <w:lang w:eastAsia="ja-JP"/>
    </w:rPr>
  </w:style>
  <w:style w:type="table" w:styleId="TableGrid">
    <w:name w:val="Table Grid"/>
    <w:basedOn w:val="TableNormal"/>
    <w:uiPriority w:val="39"/>
    <w:rsid w:val="00645FA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4CC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700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0A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0A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0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0A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43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720"/>
  </w:style>
  <w:style w:type="paragraph" w:styleId="Footer">
    <w:name w:val="footer"/>
    <w:basedOn w:val="Normal"/>
    <w:link w:val="FooterChar"/>
    <w:uiPriority w:val="99"/>
    <w:unhideWhenUsed/>
    <w:rsid w:val="00443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720"/>
  </w:style>
  <w:style w:type="character" w:styleId="PageNumber">
    <w:name w:val="page number"/>
    <w:basedOn w:val="DefaultParagraphFont"/>
    <w:uiPriority w:val="99"/>
    <w:semiHidden/>
    <w:unhideWhenUsed/>
    <w:rsid w:val="00443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4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dro.org.p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905492-B011-AE41-81C7-246B299C9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Sharada Srinivasan</cp:lastModifiedBy>
  <cp:revision>3</cp:revision>
  <dcterms:created xsi:type="dcterms:W3CDTF">2018-02-04T19:36:00Z</dcterms:created>
  <dcterms:modified xsi:type="dcterms:W3CDTF">2018-02-04T19:37:00Z</dcterms:modified>
</cp:coreProperties>
</file>