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2D01843F" w:rsidR="00286CB9" w:rsidRPr="00E92349" w:rsidRDefault="00E92349" w:rsidP="00E92349">
      <w:pPr>
        <w:pStyle w:val="Title"/>
        <w:spacing w:after="0" w:line="240" w:lineRule="auto"/>
        <w:jc w:val="center"/>
        <w:rPr>
          <w:rFonts w:ascii="Palatino Linotype" w:hAnsi="Palatino Linotype"/>
        </w:rPr>
      </w:pPr>
      <w:r w:rsidRPr="00E92349">
        <w:rPr>
          <w:rFonts w:ascii="Palatino Linotype" w:hAnsi="Palatino Linotype"/>
        </w:rPr>
        <w:t>KIOSCOS VIVE DIGITAL</w:t>
      </w:r>
    </w:p>
    <w:p w14:paraId="4C3D2F42" w14:textId="0C7ED774" w:rsidR="004A1BD9" w:rsidRPr="002C4C40" w:rsidRDefault="002C4C40" w:rsidP="00C64AA3">
      <w:pPr>
        <w:pStyle w:val="Subtitle"/>
        <w:spacing w:after="120"/>
        <w:contextualSpacing/>
        <w:jc w:val="center"/>
        <w:rPr>
          <w:rFonts w:ascii="Calibri Light" w:hAnsi="Calibri Light" w:cs="Times New Roman (Body CS)"/>
          <w:color w:val="000000" w:themeColor="text1"/>
          <w:sz w:val="36"/>
        </w:rPr>
      </w:pPr>
      <w:r w:rsidRPr="002C4C40">
        <w:rPr>
          <w:rFonts w:ascii="Calibri Light" w:hAnsi="Calibri Light" w:cs="Times New Roman (Body CS)"/>
          <w:color w:val="000000" w:themeColor="text1"/>
          <w:sz w:val="36"/>
        </w:rPr>
        <w:t xml:space="preserve">PROVIDING </w:t>
      </w:r>
      <w:r w:rsidR="00DF1DE5" w:rsidRPr="002C4C40">
        <w:rPr>
          <w:rFonts w:ascii="Calibri Light" w:hAnsi="Calibri Light" w:cs="Times New Roman (Body CS)"/>
          <w:color w:val="000000" w:themeColor="text1"/>
          <w:sz w:val="36"/>
        </w:rPr>
        <w:t>TELECENTERS IN RURAL COLOMBIA</w:t>
      </w:r>
    </w:p>
    <w:p w14:paraId="194DF080" w14:textId="5ECAA618" w:rsidR="00286CB9" w:rsidRPr="00CD7727" w:rsidRDefault="00AC55D9" w:rsidP="00E92349">
      <w:pPr>
        <w:spacing w:after="120"/>
        <w:jc w:val="center"/>
        <w:rPr>
          <w:i/>
        </w:rPr>
      </w:pPr>
      <w:r>
        <w:rPr>
          <w:noProof/>
        </w:rPr>
        <w:drawing>
          <wp:inline distT="0" distB="0" distL="0" distR="0" wp14:anchorId="7E182E01" wp14:editId="138FB0D5">
            <wp:extent cx="5715000" cy="3759200"/>
            <wp:effectExtent l="0" t="0" r="0" b="0"/>
            <wp:docPr id="1" name="Picture 1" descr="../colomb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olomb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AA3">
        <w:rPr>
          <w:i/>
        </w:rPr>
        <w:t xml:space="preserve">A </w:t>
      </w:r>
      <w:proofErr w:type="spellStart"/>
      <w:r w:rsidR="00C64AA3">
        <w:rPr>
          <w:i/>
        </w:rPr>
        <w:t>Kioscos</w:t>
      </w:r>
      <w:proofErr w:type="spellEnd"/>
      <w:r w:rsidR="00C64AA3">
        <w:rPr>
          <w:i/>
        </w:rPr>
        <w:t xml:space="preserve"> in Colombia </w:t>
      </w:r>
      <w:r w:rsidR="006E694E">
        <w:rPr>
          <w:i/>
        </w:rPr>
        <w:t xml:space="preserve">Photo </w:t>
      </w:r>
      <w:r w:rsidR="0031042E">
        <w:rPr>
          <w:i/>
        </w:rPr>
        <w:t>credit</w:t>
      </w:r>
      <w:r w:rsidR="00325325">
        <w:rPr>
          <w:i/>
        </w:rPr>
        <w:t>:</w:t>
      </w:r>
      <w:r>
        <w:rPr>
          <w:i/>
        </w:rPr>
        <w:t xml:space="preserve"> MINITIC Colombia</w:t>
      </w:r>
    </w:p>
    <w:p w14:paraId="5E1020E3" w14:textId="77777777" w:rsidR="00286CB9" w:rsidRPr="0012565C" w:rsidRDefault="00286CB9" w:rsidP="00C64AA3">
      <w:pPr>
        <w:pStyle w:val="Heading1"/>
        <w:numPr>
          <w:ilvl w:val="0"/>
          <w:numId w:val="0"/>
        </w:numPr>
        <w:spacing w:after="120" w:line="240" w:lineRule="auto"/>
        <w:ind w:left="432" w:hanging="432"/>
        <w:jc w:val="both"/>
        <w:rPr>
          <w:rFonts w:ascii="Georgia" w:hAnsi="Georgia"/>
          <w:b w:val="0"/>
        </w:rPr>
      </w:pPr>
      <w:r w:rsidRPr="0012565C">
        <w:rPr>
          <w:rFonts w:ascii="Georgia" w:hAnsi="Georgia"/>
          <w:b w:val="0"/>
        </w:rPr>
        <w:t xml:space="preserve">Executive Summary </w:t>
      </w:r>
    </w:p>
    <w:p w14:paraId="07F698FD" w14:textId="1531F4EA" w:rsidR="00E307B4" w:rsidRDefault="00A460E5" w:rsidP="00C64AA3">
      <w:pPr>
        <w:spacing w:after="120"/>
        <w:jc w:val="both"/>
      </w:pPr>
      <w:proofErr w:type="spellStart"/>
      <w:r>
        <w:t>Kiosc</w:t>
      </w:r>
      <w:r w:rsidR="00525652">
        <w:t>os</w:t>
      </w:r>
      <w:proofErr w:type="spellEnd"/>
      <w:r w:rsidR="00525652">
        <w:t xml:space="preserve"> Vive Digital</w:t>
      </w:r>
      <w:r w:rsidR="00602AF5">
        <w:t xml:space="preserve"> (KVD)</w:t>
      </w:r>
      <w:r w:rsidR="00525652">
        <w:t xml:space="preserve"> is an </w:t>
      </w:r>
      <w:r w:rsidR="00121DC3">
        <w:t>Internet</w:t>
      </w:r>
      <w:r w:rsidR="00525652">
        <w:t xml:space="preserve"> access and telecommunications technology service provider and training program working to close the digital divide in rural Colombia. </w:t>
      </w:r>
      <w:r w:rsidR="00E92349">
        <w:t>The program</w:t>
      </w:r>
      <w:r w:rsidR="00B66EF9">
        <w:t xml:space="preserve"> provides digital kiosks that act as community I</w:t>
      </w:r>
      <w:r w:rsidR="001A3573" w:rsidRPr="001A3573">
        <w:t>nternet access points for children, youth</w:t>
      </w:r>
      <w:r w:rsidR="00152D2C">
        <w:t>,</w:t>
      </w:r>
      <w:r w:rsidR="001A3573" w:rsidRPr="001A3573">
        <w:t xml:space="preserve"> and adults in rural areas with more than 100 inhabitants, located in the most remote areas of Colombi</w:t>
      </w:r>
      <w:r w:rsidR="00B66EF9">
        <w:t>a. The kiosks enable anyone</w:t>
      </w:r>
      <w:r w:rsidR="00525652">
        <w:t xml:space="preserve"> </w:t>
      </w:r>
      <w:r w:rsidR="00152D2C">
        <w:t xml:space="preserve">using their services </w:t>
      </w:r>
      <w:r w:rsidR="00B66EF9">
        <w:t>to</w:t>
      </w:r>
      <w:r w:rsidR="00525652">
        <w:t xml:space="preserve"> connect to the</w:t>
      </w:r>
      <w:r w:rsidR="00B66EF9">
        <w:t xml:space="preserve"> </w:t>
      </w:r>
      <w:proofErr w:type="gramStart"/>
      <w:r w:rsidR="00B66EF9">
        <w:t>I</w:t>
      </w:r>
      <w:r w:rsidR="001A3573" w:rsidRPr="001A3573">
        <w:t>ntern</w:t>
      </w:r>
      <w:r w:rsidR="005E2580">
        <w:t>et</w:t>
      </w:r>
      <w:r w:rsidR="00152D2C">
        <w:t>,</w:t>
      </w:r>
      <w:r w:rsidR="005E2580">
        <w:t xml:space="preserve"> and</w:t>
      </w:r>
      <w:proofErr w:type="gramEnd"/>
      <w:r w:rsidR="005E2580">
        <w:t xml:space="preserve"> receive free training in accessing and using the </w:t>
      </w:r>
      <w:r w:rsidR="00152D2C">
        <w:t>Internet</w:t>
      </w:r>
      <w:r w:rsidR="005E2580">
        <w:t xml:space="preserve">, computers, and </w:t>
      </w:r>
      <w:r w:rsidR="00F756E8">
        <w:t>other information and communications technologies (</w:t>
      </w:r>
      <w:r w:rsidR="00152D2C">
        <w:t>ICTs</w:t>
      </w:r>
      <w:r w:rsidR="00F756E8">
        <w:t>)</w:t>
      </w:r>
      <w:r w:rsidR="005E2580">
        <w:t xml:space="preserve">. The project operates under the auspices of </w:t>
      </w:r>
      <w:r w:rsidR="00152D2C">
        <w:t>t</w:t>
      </w:r>
      <w:r w:rsidR="00622AF9">
        <w:t xml:space="preserve">he Ministry of </w:t>
      </w:r>
      <w:r w:rsidR="00623C09">
        <w:t>Information Technology and Communications</w:t>
      </w:r>
      <w:r w:rsidR="00152D2C">
        <w:t xml:space="preserve"> </w:t>
      </w:r>
      <w:r w:rsidR="00B318EB">
        <w:t>(</w:t>
      </w:r>
      <w:proofErr w:type="spellStart"/>
      <w:r w:rsidR="00B318EB">
        <w:t>MinTIC</w:t>
      </w:r>
      <w:proofErr w:type="spellEnd"/>
      <w:r w:rsidR="00B318EB">
        <w:t xml:space="preserve">) </w:t>
      </w:r>
      <w:r w:rsidR="00152D2C">
        <w:t>to provide satellite I</w:t>
      </w:r>
      <w:r w:rsidR="005E2580">
        <w:t>nternet services to communities</w:t>
      </w:r>
      <w:r w:rsidR="00933A8E">
        <w:t xml:space="preserve"> that, due to their geographic </w:t>
      </w:r>
      <w:r w:rsidR="005E2580">
        <w:t>remoteness and</w:t>
      </w:r>
      <w:r w:rsidR="00933A8E">
        <w:t xml:space="preserve">/or infrastructural limitations, </w:t>
      </w:r>
      <w:r w:rsidR="005E2580">
        <w:t>were not included in the National Optical Fiber Project.</w:t>
      </w:r>
      <w:r w:rsidR="003632E0">
        <w:t xml:space="preserve"> Some of the programs and services ou</w:t>
      </w:r>
      <w:r w:rsidR="00E92349">
        <w:t>tlined in the Universal Service F</w:t>
      </w:r>
      <w:r w:rsidR="003632E0">
        <w:t xml:space="preserve">und are dependent on </w:t>
      </w:r>
      <w:r w:rsidR="00933A8E">
        <w:t>Internet</w:t>
      </w:r>
      <w:r w:rsidR="003632E0">
        <w:t xml:space="preserve"> access for their effic</w:t>
      </w:r>
      <w:r w:rsidR="00E92349">
        <w:t>acy and availability, so the</w:t>
      </w:r>
      <w:r w:rsidR="003632E0">
        <w:t xml:space="preserve"> project provides the necessary </w:t>
      </w:r>
      <w:r w:rsidR="00933A8E">
        <w:t>Internet</w:t>
      </w:r>
      <w:r w:rsidR="003632E0">
        <w:t xml:space="preserve"> services</w:t>
      </w:r>
    </w:p>
    <w:p w14:paraId="624AE5DE" w14:textId="77777777" w:rsidR="004A1BD9" w:rsidRDefault="004A1BD9" w:rsidP="00C64AA3">
      <w:pPr>
        <w:spacing w:after="120"/>
        <w:jc w:val="both"/>
        <w:rPr>
          <w:i/>
        </w:rPr>
      </w:pPr>
    </w:p>
    <w:p w14:paraId="38F03B92" w14:textId="4F1B34F6" w:rsidR="00474DDB" w:rsidRPr="00B3007C" w:rsidRDefault="00474DDB" w:rsidP="00C64AA3">
      <w:pPr>
        <w:spacing w:after="120"/>
        <w:jc w:val="both"/>
        <w:rPr>
          <w:i/>
        </w:rPr>
      </w:pPr>
      <w:r w:rsidRPr="00B3007C">
        <w:rPr>
          <w:i/>
        </w:rPr>
        <w:t xml:space="preserve">Keywords: </w:t>
      </w:r>
      <w:proofErr w:type="spellStart"/>
      <w:r w:rsidR="00B3007C" w:rsidRPr="00B3007C">
        <w:rPr>
          <w:i/>
        </w:rPr>
        <w:t>telecenters</w:t>
      </w:r>
      <w:proofErr w:type="spellEnd"/>
      <w:r w:rsidR="00B3007C" w:rsidRPr="00B3007C">
        <w:rPr>
          <w:i/>
        </w:rPr>
        <w:t xml:space="preserve">, </w:t>
      </w:r>
      <w:r w:rsidR="0031289F">
        <w:rPr>
          <w:i/>
        </w:rPr>
        <w:t xml:space="preserve">education, </w:t>
      </w:r>
      <w:r w:rsidR="00B3007C" w:rsidRPr="00B3007C">
        <w:rPr>
          <w:i/>
        </w:rPr>
        <w:t>Colombia, rural</w:t>
      </w:r>
    </w:p>
    <w:p w14:paraId="41E42BE9" w14:textId="1BDCE2BA" w:rsidR="00861C2B" w:rsidRPr="00525652" w:rsidRDefault="00861C2B" w:rsidP="00C64AA3">
      <w:pPr>
        <w:pStyle w:val="Heading1"/>
        <w:numPr>
          <w:ilvl w:val="0"/>
          <w:numId w:val="0"/>
        </w:numPr>
        <w:spacing w:after="120" w:line="240" w:lineRule="auto"/>
        <w:jc w:val="both"/>
        <w:rPr>
          <w:rFonts w:ascii="Georgia" w:hAnsi="Georgia"/>
          <w:b w:val="0"/>
        </w:rPr>
      </w:pPr>
      <w:r w:rsidRPr="00525652">
        <w:rPr>
          <w:rFonts w:ascii="Georgia" w:hAnsi="Georgia"/>
          <w:b w:val="0"/>
        </w:rPr>
        <w:lastRenderedPageBreak/>
        <w:t>Context</w:t>
      </w:r>
    </w:p>
    <w:p w14:paraId="708EB89F" w14:textId="4D6696F0" w:rsidR="00D84E55" w:rsidRDefault="00D84E55" w:rsidP="00C64AA3">
      <w:pPr>
        <w:spacing w:after="120"/>
        <w:jc w:val="both"/>
      </w:pPr>
      <w:r>
        <w:t xml:space="preserve">Colombia is committed to </w:t>
      </w:r>
      <w:r w:rsidR="006E7801">
        <w:t xml:space="preserve">employing </w:t>
      </w:r>
      <w:r>
        <w:t>ICTs to promote a knowledge soc</w:t>
      </w:r>
      <w:r w:rsidR="00B318EB">
        <w:t xml:space="preserve">iety and modernize the country, as the </w:t>
      </w:r>
      <w:r w:rsidR="00FA32B1">
        <w:t>10</w:t>
      </w:r>
      <w:r>
        <w:t xml:space="preserve">-Year Education Plan 2006-2016, </w:t>
      </w:r>
      <w:r w:rsidR="00B318EB">
        <w:t>its</w:t>
      </w:r>
      <w:r>
        <w:t xml:space="preserve"> “Vision 2019” document, and the National Plan of New Information and Communication Technologies</w:t>
      </w:r>
      <w:r w:rsidR="00B318EB">
        <w:t xml:space="preserve"> demonstrate</w:t>
      </w:r>
      <w:r>
        <w:t xml:space="preserve">. </w:t>
      </w:r>
    </w:p>
    <w:p w14:paraId="71DCB64E" w14:textId="388D7E83" w:rsidR="00D84E55" w:rsidRDefault="00D84E55" w:rsidP="00C64AA3">
      <w:pPr>
        <w:spacing w:after="120"/>
        <w:jc w:val="both"/>
      </w:pPr>
      <w:r>
        <w:t xml:space="preserve">The National ICT Plan 2008-2019 proposed a set of policies, actions, and projects to bring about </w:t>
      </w:r>
      <w:r w:rsidR="00B318EB">
        <w:t xml:space="preserve">the </w:t>
      </w:r>
      <w:r>
        <w:t xml:space="preserve">efficient and productive use of ICTs among all Colombians, </w:t>
      </w:r>
      <w:r w:rsidR="00B318EB">
        <w:t>with the aim to improve social inclusion and increase</w:t>
      </w:r>
      <w:r>
        <w:t xml:space="preserve"> competitiveness. </w:t>
      </w:r>
      <w:r w:rsidR="00FA737C">
        <w:t xml:space="preserve">Furthermore, </w:t>
      </w:r>
      <w:proofErr w:type="spellStart"/>
      <w:r w:rsidR="00FA737C">
        <w:t>MinTIC’s</w:t>
      </w:r>
      <w:proofErr w:type="spellEnd"/>
      <w:r w:rsidR="00FA737C">
        <w:t xml:space="preserve"> </w:t>
      </w:r>
      <w:r>
        <w:t xml:space="preserve">National Broadband Policy has increased the percentage of Colombian municipalities’ Internet connectivity from 17 </w:t>
      </w:r>
      <w:r w:rsidR="00FA737C">
        <w:t xml:space="preserve">percent </w:t>
      </w:r>
      <w:r>
        <w:t xml:space="preserve">in 2010 to </w:t>
      </w:r>
      <w:r w:rsidR="00FA737C">
        <w:t xml:space="preserve">an impressive </w:t>
      </w:r>
      <w:r>
        <w:t>96 percent in 2015.</w:t>
      </w:r>
    </w:p>
    <w:p w14:paraId="3C5E9E6F" w14:textId="273B48B3" w:rsidR="00D84E55" w:rsidRDefault="00D84E55" w:rsidP="00C64AA3">
      <w:pPr>
        <w:spacing w:after="120"/>
        <w:jc w:val="both"/>
      </w:pPr>
      <w:bookmarkStart w:id="0" w:name="_zd2q2lulq1ct"/>
      <w:bookmarkEnd w:id="0"/>
      <w:r>
        <w:t xml:space="preserve">The Ministry of Education has </w:t>
      </w:r>
      <w:r w:rsidR="00FA737C">
        <w:t xml:space="preserve">also </w:t>
      </w:r>
      <w:r>
        <w:t xml:space="preserve">launched several initiatives to address digital literacy, including a pilot project to train teachers, students, and parents with 1,500 donated Intel computers in 2007, </w:t>
      </w:r>
      <w:r w:rsidR="00E56BAA">
        <w:t>and a project that loosely translates to “Path of ICTs Appropriation</w:t>
      </w:r>
      <w:r w:rsidR="00481F58">
        <w:t>.</w:t>
      </w:r>
      <w:r w:rsidR="00E56BAA">
        <w:t>”</w:t>
      </w:r>
      <w:r>
        <w:t xml:space="preserve"> </w:t>
      </w:r>
      <w:r w:rsidR="00481F58">
        <w:t xml:space="preserve">Launched in 2008, the project aims to increase </w:t>
      </w:r>
      <w:r>
        <w:t xml:space="preserve">teachers’ professional development. </w:t>
      </w:r>
      <w:r w:rsidR="00481F58">
        <w:t>Moreover, t</w:t>
      </w:r>
      <w:r>
        <w:t xml:space="preserve">hrough the 899 </w:t>
      </w:r>
      <w:proofErr w:type="spellStart"/>
      <w:r>
        <w:t>Puntos</w:t>
      </w:r>
      <w:proofErr w:type="spellEnd"/>
      <w:r>
        <w:t xml:space="preserve"> Vive Digital (communit</w:t>
      </w:r>
      <w:r w:rsidR="00481F58">
        <w:t>y I</w:t>
      </w:r>
      <w:r>
        <w:t>nternet centers), 100,771 people have received digital literacy training.</w:t>
      </w:r>
    </w:p>
    <w:p w14:paraId="77FBD89C" w14:textId="08C7A9C5" w:rsidR="00D84E55" w:rsidRDefault="00D84E55" w:rsidP="00C64AA3">
      <w:pPr>
        <w:spacing w:after="120"/>
        <w:jc w:val="both"/>
      </w:pPr>
      <w:bookmarkStart w:id="1" w:name="_gjdgxs"/>
      <w:bookmarkEnd w:id="1"/>
      <w:r>
        <w:t xml:space="preserve">Due to the lack </w:t>
      </w:r>
      <w:r w:rsidR="00A42536">
        <w:t>of competition, both fixed-line</w:t>
      </w:r>
      <w:r>
        <w:t xml:space="preserve"> and mobile </w:t>
      </w:r>
      <w:r w:rsidR="00FA32B1">
        <w:t>Internet</w:t>
      </w:r>
      <w:r>
        <w:t xml:space="preserve"> services </w:t>
      </w:r>
      <w:r w:rsidR="00A42536">
        <w:t>in Colombia</w:t>
      </w:r>
      <w:r>
        <w:t xml:space="preserve"> are among</w:t>
      </w:r>
      <w:r w:rsidR="00A42536">
        <w:t xml:space="preserve"> the most expensive compared to </w:t>
      </w:r>
      <w:proofErr w:type="spellStart"/>
      <w:r w:rsidR="00FA32B1" w:rsidRPr="00FA32B1">
        <w:t>Organisation</w:t>
      </w:r>
      <w:proofErr w:type="spellEnd"/>
      <w:r w:rsidR="00FA32B1" w:rsidRPr="00FA32B1">
        <w:t xml:space="preserve"> for Economic Co-operation and Development</w:t>
      </w:r>
      <w:r w:rsidR="00FA32B1">
        <w:t xml:space="preserve"> (</w:t>
      </w:r>
      <w:r>
        <w:t>OECD</w:t>
      </w:r>
      <w:r w:rsidR="00FA32B1">
        <w:t>)</w:t>
      </w:r>
      <w:r>
        <w:t xml:space="preserve"> countries. The average </w:t>
      </w:r>
      <w:r w:rsidR="00FA32B1">
        <w:t>Internet</w:t>
      </w:r>
      <w:r>
        <w:t xml:space="preserve"> speed in Colombia in 2013 was only 3 </w:t>
      </w:r>
      <w:r w:rsidR="006E7801">
        <w:t>megabits per second (</w:t>
      </w:r>
      <w:r>
        <w:t>Mbps</w:t>
      </w:r>
      <w:r w:rsidR="006E7801">
        <w:t>)</w:t>
      </w:r>
      <w:r w:rsidR="00460CCC">
        <w:t>. High-speed I</w:t>
      </w:r>
      <w:r>
        <w:t>nternet is</w:t>
      </w:r>
      <w:r w:rsidR="00460CCC">
        <w:t xml:space="preserve"> a luxury product, and only 0.7 percent</w:t>
      </w:r>
      <w:r>
        <w:t xml:space="preserve"> of the country’s broadband connections were faster than 1</w:t>
      </w:r>
      <w:r w:rsidR="00460CCC">
        <w:t>0 Mbps in 2011, according to the OECD.</w:t>
      </w:r>
    </w:p>
    <w:p w14:paraId="030A6375" w14:textId="28E679CE" w:rsidR="00EE797B" w:rsidRDefault="00D84E55" w:rsidP="00C64AA3">
      <w:pPr>
        <w:spacing w:after="120"/>
        <w:jc w:val="both"/>
      </w:pPr>
      <w:r>
        <w:t xml:space="preserve">The connectivity inequity is </w:t>
      </w:r>
      <w:r w:rsidR="00247152">
        <w:t xml:space="preserve">particularly </w:t>
      </w:r>
      <w:r>
        <w:t>severe between urban and rural areas. Most Colombians live in cities, where the ma</w:t>
      </w:r>
      <w:r w:rsidR="00121DC3">
        <w:t xml:space="preserve">jor </w:t>
      </w:r>
      <w:r w:rsidR="001A3C8C">
        <w:t>Internet</w:t>
      </w:r>
      <w:r w:rsidR="00121DC3">
        <w:t xml:space="preserve"> service providers (ISPs) a</w:t>
      </w:r>
      <w:r>
        <w:t xml:space="preserve">re located </w:t>
      </w:r>
      <w:r w:rsidR="00247152">
        <w:t>and hold significant</w:t>
      </w:r>
      <w:r>
        <w:t xml:space="preserve"> market power. These telecommunication</w:t>
      </w:r>
      <w:r w:rsidR="00247152">
        <w:t>s</w:t>
      </w:r>
      <w:r>
        <w:t xml:space="preserve"> firms are not interested in expanding the network to rural areas, leaving the population far behind. The government is actively organizing several projects to resolve this market fa</w:t>
      </w:r>
      <w:r w:rsidR="00D43C49">
        <w:t xml:space="preserve">ilure, including </w:t>
      </w:r>
      <w:r w:rsidR="00601BC1">
        <w:t>its</w:t>
      </w:r>
      <w:r w:rsidR="00D43C49">
        <w:t xml:space="preserve"> 13 billion-</w:t>
      </w:r>
      <w:r>
        <w:t>peso</w:t>
      </w:r>
      <w:r w:rsidR="00D43C49">
        <w:t xml:space="preserve"> (</w:t>
      </w:r>
      <w:r w:rsidR="00E92349">
        <w:t>US</w:t>
      </w:r>
      <w:bookmarkStart w:id="2" w:name="_GoBack"/>
      <w:r w:rsidR="00D43C49">
        <w:t>$</w:t>
      </w:r>
      <w:bookmarkEnd w:id="2"/>
      <w:r w:rsidR="00E92349">
        <w:t xml:space="preserve"> </w:t>
      </w:r>
      <w:r w:rsidR="006E7801">
        <w:t>4.55 million)</w:t>
      </w:r>
      <w:r>
        <w:t xml:space="preserve"> “Free </w:t>
      </w:r>
      <w:r w:rsidR="006E7801">
        <w:t>Wi-Fi</w:t>
      </w:r>
      <w:r>
        <w:t xml:space="preserve"> for the People” plan to establish 1,000 free public </w:t>
      </w:r>
      <w:r w:rsidR="006E7801">
        <w:t>Wi-Fi</w:t>
      </w:r>
      <w:r>
        <w:t xml:space="preserve"> spots across the country.</w:t>
      </w:r>
    </w:p>
    <w:p w14:paraId="7717AE70" w14:textId="77777777" w:rsidR="00E92349" w:rsidRDefault="00E92349" w:rsidP="00C64AA3">
      <w:pPr>
        <w:spacing w:after="120"/>
        <w:jc w:val="both"/>
      </w:pPr>
    </w:p>
    <w:tbl>
      <w:tblPr>
        <w:tblStyle w:val="GridTable6Colorful2"/>
        <w:tblW w:w="5000" w:type="pct"/>
        <w:tblLook w:val="04A0" w:firstRow="1" w:lastRow="0" w:firstColumn="1" w:lastColumn="0" w:noHBand="0" w:noVBand="1"/>
      </w:tblPr>
      <w:tblGrid>
        <w:gridCol w:w="2875"/>
        <w:gridCol w:w="1656"/>
        <w:gridCol w:w="2598"/>
        <w:gridCol w:w="1881"/>
      </w:tblGrid>
      <w:tr w:rsidR="00EE797B" w:rsidRPr="00177443" w14:paraId="75AECC9D" w14:textId="77777777" w:rsidTr="00E9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uto"/>
            <w:vAlign w:val="center"/>
          </w:tcPr>
          <w:p w14:paraId="5B0F514D" w14:textId="77777777" w:rsidR="00EE797B" w:rsidRPr="00177443" w:rsidRDefault="00EE797B" w:rsidP="00E9234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  <w:lang w:eastAsia="en-US"/>
              </w:rPr>
              <w:t>Colombia</w:t>
            </w:r>
          </w:p>
        </w:tc>
      </w:tr>
      <w:tr w:rsidR="00EE797B" w:rsidRPr="00177443" w14:paraId="51163096" w14:textId="77777777" w:rsidTr="002C4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  <w:shd w:val="clear" w:color="auto" w:fill="auto"/>
            <w:vAlign w:val="center"/>
          </w:tcPr>
          <w:p w14:paraId="4DEC947A" w14:textId="4980C56C" w:rsidR="00EE797B" w:rsidRPr="00177443" w:rsidRDefault="00EE797B" w:rsidP="00E92349">
            <w:pPr>
              <w:jc w:val="center"/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  <w:lang w:eastAsia="en-US"/>
              </w:rPr>
              <w:t>Population</w:t>
            </w:r>
          </w:p>
          <w:p w14:paraId="0808E676" w14:textId="77777777" w:rsidR="00EE797B" w:rsidRPr="00177443" w:rsidRDefault="00EE797B" w:rsidP="00E9234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587E040C" w14:textId="77777777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</w:rPr>
              <w:t>49,529,208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756E2FA0" w14:textId="6C228E02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b/>
                <w:color w:val="000000"/>
                <w:sz w:val="24"/>
                <w:szCs w:val="24"/>
                <w:lang w:eastAsia="en-US"/>
              </w:rPr>
              <w:t>Fixed broadband subscriptions (%)</w:t>
            </w:r>
          </w:p>
          <w:p w14:paraId="1F260337" w14:textId="77777777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105612A6" w14:textId="77777777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</w:rPr>
              <w:t>11.79</w:t>
            </w:r>
          </w:p>
        </w:tc>
      </w:tr>
      <w:tr w:rsidR="00EE797B" w:rsidRPr="00177443" w14:paraId="584FE283" w14:textId="77777777" w:rsidTr="002C4C40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  <w:shd w:val="clear" w:color="auto" w:fill="auto"/>
            <w:vAlign w:val="center"/>
          </w:tcPr>
          <w:p w14:paraId="5B52D2DE" w14:textId="6EF5C133" w:rsidR="00EE797B" w:rsidRPr="00177443" w:rsidRDefault="00EE797B" w:rsidP="00E9234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opulation density (people per sq</w:t>
            </w:r>
            <w:r w:rsidR="002C4C40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.km</w:t>
            </w:r>
            <w:r w:rsidRPr="00177443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)</w:t>
            </w:r>
          </w:p>
          <w:p w14:paraId="13706977" w14:textId="77777777" w:rsidR="00EE797B" w:rsidRPr="00177443" w:rsidRDefault="00EE797B" w:rsidP="00E9234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5A8AB366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</w:rPr>
              <w:t>43.49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1611409A" w14:textId="04AED166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b/>
                <w:color w:val="000000"/>
                <w:sz w:val="24"/>
                <w:szCs w:val="24"/>
                <w:lang w:eastAsia="en-US"/>
              </w:rPr>
              <w:t>Mobile cellular subscriptions (%)</w:t>
            </w:r>
          </w:p>
          <w:p w14:paraId="2EE800AE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156ED78C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</w:rPr>
              <w:t>117</w:t>
            </w:r>
          </w:p>
        </w:tc>
      </w:tr>
      <w:tr w:rsidR="00EE797B" w:rsidRPr="00177443" w14:paraId="2D35F171" w14:textId="77777777" w:rsidTr="002C4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  <w:shd w:val="clear" w:color="auto" w:fill="auto"/>
            <w:vAlign w:val="center"/>
          </w:tcPr>
          <w:p w14:paraId="0BB18E77" w14:textId="77777777" w:rsidR="00EE797B" w:rsidRPr="00177443" w:rsidRDefault="00EE797B" w:rsidP="00E92349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Median household income</w:t>
            </w:r>
          </w:p>
          <w:p w14:paraId="35B31AA9" w14:textId="77777777" w:rsidR="00EE797B" w:rsidRPr="00177443" w:rsidRDefault="00EE797B" w:rsidP="00E9234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33129E69" w14:textId="384F9646" w:rsidR="00EE797B" w:rsidRPr="00177443" w:rsidRDefault="002C4C40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US</w:t>
            </w:r>
            <w:r w:rsidR="00EE797B" w:rsidRPr="00177443">
              <w:rPr>
                <w:color w:val="000000"/>
                <w:sz w:val="24"/>
                <w:szCs w:val="24"/>
                <w:lang w:eastAsia="en-US"/>
              </w:rPr>
              <w:t>$</w:t>
            </w:r>
            <w:r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  <w:r w:rsidR="00EE797B" w:rsidRPr="00177443">
              <w:rPr>
                <w:color w:val="000000"/>
                <w:sz w:val="24"/>
                <w:szCs w:val="24"/>
              </w:rPr>
              <w:t>6</w:t>
            </w:r>
            <w:r w:rsidR="00EE797B">
              <w:rPr>
                <w:color w:val="000000"/>
                <w:sz w:val="24"/>
                <w:szCs w:val="24"/>
              </w:rPr>
              <w:t>,</w:t>
            </w:r>
            <w:r w:rsidR="00EE797B" w:rsidRPr="00177443"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6C53F3E4" w14:textId="41A3F478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77443">
              <w:rPr>
                <w:b/>
                <w:sz w:val="24"/>
                <w:szCs w:val="24"/>
              </w:rPr>
              <w:t>Individuals using the Internet (%)</w:t>
            </w:r>
          </w:p>
          <w:p w14:paraId="6BC0522F" w14:textId="77777777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b/>
                <w:sz w:val="24"/>
                <w:szCs w:val="24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4C1DC5B1" w14:textId="77777777" w:rsidR="00EE797B" w:rsidRPr="00177443" w:rsidRDefault="00EE797B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color w:val="000000"/>
                <w:sz w:val="24"/>
                <w:szCs w:val="24"/>
              </w:rPr>
              <w:t>58.1</w:t>
            </w:r>
          </w:p>
        </w:tc>
      </w:tr>
      <w:tr w:rsidR="00EE797B" w:rsidRPr="00177443" w14:paraId="370B84CB" w14:textId="77777777" w:rsidTr="002C4C40">
        <w:trPr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  <w:shd w:val="clear" w:color="auto" w:fill="auto"/>
            <w:vAlign w:val="center"/>
          </w:tcPr>
          <w:p w14:paraId="2B135BA4" w14:textId="77777777" w:rsidR="002C4C40" w:rsidRDefault="00D43C49" w:rsidP="00E923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Education </w:t>
            </w:r>
          </w:p>
          <w:p w14:paraId="15F648EE" w14:textId="77777777" w:rsidR="002C4C40" w:rsidRDefault="002C4C40" w:rsidP="00E923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(Mean years of schooling)</w:t>
            </w:r>
          </w:p>
          <w:p w14:paraId="097C433C" w14:textId="6C94726A" w:rsidR="00EE797B" w:rsidRPr="00177443" w:rsidRDefault="00EE797B" w:rsidP="00E92349">
            <w:pPr>
              <w:jc w:val="center"/>
              <w:rPr>
                <w:sz w:val="24"/>
                <w:szCs w:val="24"/>
              </w:rPr>
            </w:pPr>
            <w:r w:rsidRPr="00177443">
              <w:rPr>
                <w:sz w:val="24"/>
                <w:szCs w:val="24"/>
              </w:rPr>
              <w:t>(UNDP, 2013)</w:t>
            </w:r>
          </w:p>
        </w:tc>
        <w:tc>
          <w:tcPr>
            <w:tcW w:w="919" w:type="pct"/>
            <w:shd w:val="clear" w:color="auto" w:fill="auto"/>
            <w:vAlign w:val="center"/>
          </w:tcPr>
          <w:p w14:paraId="7F2C1DB3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443">
              <w:rPr>
                <w:sz w:val="24"/>
                <w:szCs w:val="24"/>
              </w:rPr>
              <w:t xml:space="preserve">Male: </w:t>
            </w:r>
            <w:r w:rsidRPr="00177443">
              <w:rPr>
                <w:color w:val="000000"/>
                <w:sz w:val="24"/>
                <w:szCs w:val="24"/>
              </w:rPr>
              <w:t>7.1</w:t>
            </w:r>
          </w:p>
          <w:p w14:paraId="5A7C521D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7443">
              <w:rPr>
                <w:sz w:val="24"/>
                <w:szCs w:val="24"/>
              </w:rPr>
              <w:t xml:space="preserve">Female: </w:t>
            </w:r>
            <w:r w:rsidRPr="00177443">
              <w:rPr>
                <w:color w:val="000000"/>
                <w:sz w:val="24"/>
                <w:szCs w:val="24"/>
              </w:rPr>
              <w:t>7.0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6E670690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b/>
                <w:sz w:val="24"/>
                <w:szCs w:val="24"/>
              </w:rPr>
              <w:t>Ind</w:t>
            </w:r>
            <w:r>
              <w:rPr>
                <w:b/>
                <w:sz w:val="24"/>
                <w:szCs w:val="24"/>
              </w:rPr>
              <w:t>ividuals using the Internet by g</w:t>
            </w:r>
            <w:r w:rsidRPr="00177443">
              <w:rPr>
                <w:b/>
                <w:sz w:val="24"/>
                <w:szCs w:val="24"/>
              </w:rPr>
              <w:t>ender (%) 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0173AEF6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77443">
              <w:rPr>
                <w:sz w:val="24"/>
                <w:szCs w:val="24"/>
              </w:rPr>
              <w:t xml:space="preserve">Male: </w:t>
            </w:r>
            <w:r w:rsidRPr="00177443">
              <w:rPr>
                <w:color w:val="000000"/>
                <w:sz w:val="24"/>
                <w:szCs w:val="24"/>
              </w:rPr>
              <w:t>58.1</w:t>
            </w:r>
          </w:p>
          <w:p w14:paraId="4E0BD587" w14:textId="77777777" w:rsidR="00EE797B" w:rsidRPr="00177443" w:rsidRDefault="00EE797B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177443">
              <w:rPr>
                <w:sz w:val="24"/>
                <w:szCs w:val="24"/>
              </w:rPr>
              <w:t xml:space="preserve">Female: </w:t>
            </w:r>
            <w:r w:rsidRPr="00177443">
              <w:rPr>
                <w:color w:val="000000"/>
                <w:sz w:val="24"/>
                <w:szCs w:val="24"/>
              </w:rPr>
              <w:t>58.2</w:t>
            </w:r>
          </w:p>
        </w:tc>
      </w:tr>
    </w:tbl>
    <w:p w14:paraId="1810E931" w14:textId="77777777" w:rsidR="00D84E55" w:rsidRDefault="00D84E55" w:rsidP="00C64AA3">
      <w:pPr>
        <w:spacing w:after="120"/>
        <w:jc w:val="both"/>
      </w:pPr>
    </w:p>
    <w:p w14:paraId="71ED5EA5" w14:textId="36E383B7" w:rsidR="00286CB9" w:rsidRPr="000F6F4F" w:rsidRDefault="00C06EE8" w:rsidP="00C64AA3">
      <w:pPr>
        <w:pStyle w:val="Heading1"/>
        <w:numPr>
          <w:ilvl w:val="0"/>
          <w:numId w:val="0"/>
        </w:numPr>
        <w:spacing w:after="120" w:line="240" w:lineRule="auto"/>
        <w:jc w:val="both"/>
        <w:rPr>
          <w:rFonts w:ascii="Georgia" w:hAnsi="Georgia"/>
          <w:b w:val="0"/>
        </w:rPr>
      </w:pPr>
      <w:r>
        <w:rPr>
          <w:rFonts w:ascii="Georgia" w:hAnsi="Georgia"/>
          <w:b w:val="0"/>
        </w:rPr>
        <w:lastRenderedPageBreak/>
        <w:t>Project D</w:t>
      </w:r>
      <w:r w:rsidR="00EE1E6E">
        <w:rPr>
          <w:rFonts w:ascii="Georgia" w:hAnsi="Georgia"/>
          <w:b w:val="0"/>
        </w:rPr>
        <w:t>escription</w:t>
      </w:r>
    </w:p>
    <w:p w14:paraId="2ECD749F" w14:textId="61F66766" w:rsidR="00672865" w:rsidRDefault="001A0F71" w:rsidP="00C64AA3">
      <w:pPr>
        <w:spacing w:after="120"/>
        <w:jc w:val="both"/>
      </w:pPr>
      <w:proofErr w:type="spellStart"/>
      <w:r>
        <w:t>Kioskos</w:t>
      </w:r>
      <w:proofErr w:type="spellEnd"/>
      <w:r>
        <w:t xml:space="preserve"> V</w:t>
      </w:r>
      <w:r w:rsidR="00601BC1">
        <w:t>ive Digital provides satellite I</w:t>
      </w:r>
      <w:r w:rsidR="0036179C">
        <w:t xml:space="preserve">nternet connectivity and services in more than 7,000 </w:t>
      </w:r>
      <w:r w:rsidR="001B6BE6">
        <w:t xml:space="preserve">rural Colombian </w:t>
      </w:r>
      <w:r w:rsidR="0036179C">
        <w:t>communities</w:t>
      </w:r>
      <w:r w:rsidR="001B6BE6">
        <w:t xml:space="preserve"> through</w:t>
      </w:r>
      <w:r w:rsidR="0036179C">
        <w:t xml:space="preserve"> </w:t>
      </w:r>
      <w:r w:rsidR="005E2580" w:rsidRPr="001F504E">
        <w:t xml:space="preserve">community-based </w:t>
      </w:r>
      <w:r w:rsidR="00525652">
        <w:t>telecommunications centers</w:t>
      </w:r>
      <w:r w:rsidR="001B6BE6">
        <w:t xml:space="preserve">. </w:t>
      </w:r>
      <w:r>
        <w:t xml:space="preserve">The kiosks </w:t>
      </w:r>
      <w:r w:rsidR="00525652">
        <w:t>are publicly accessible</w:t>
      </w:r>
      <w:r w:rsidR="005E2580" w:rsidRPr="001F504E">
        <w:t xml:space="preserve"> </w:t>
      </w:r>
      <w:r w:rsidR="00525652">
        <w:t>and installed</w:t>
      </w:r>
      <w:r>
        <w:t xml:space="preserve"> primarily in schools, but also</w:t>
      </w:r>
      <w:r w:rsidR="00525652">
        <w:t xml:space="preserve"> in </w:t>
      </w:r>
      <w:r w:rsidR="005E2580" w:rsidRPr="001F504E">
        <w:t xml:space="preserve">homes, community </w:t>
      </w:r>
      <w:r w:rsidR="00525652">
        <w:t>centers</w:t>
      </w:r>
      <w:r w:rsidR="005E2580" w:rsidRPr="001F504E">
        <w:t xml:space="preserve">, </w:t>
      </w:r>
      <w:r w:rsidR="00525652">
        <w:t>pharmacies</w:t>
      </w:r>
      <w:r w:rsidR="005E2580" w:rsidRPr="001F504E">
        <w:t xml:space="preserve">, </w:t>
      </w:r>
      <w:r>
        <w:t xml:space="preserve">and </w:t>
      </w:r>
      <w:r w:rsidR="005E2580" w:rsidRPr="001F504E">
        <w:t>shops</w:t>
      </w:r>
      <w:r w:rsidR="00525652">
        <w:t xml:space="preserve">. </w:t>
      </w:r>
      <w:r w:rsidR="00E92349">
        <w:t xml:space="preserve">The program </w:t>
      </w:r>
      <w:r w:rsidR="00672865">
        <w:t xml:space="preserve">targets schools as installation sites so that the computers and services can be used for educational purposes during school hours, and then opened to the community at large </w:t>
      </w:r>
      <w:r w:rsidR="000A5488">
        <w:t>at the end of the school day</w:t>
      </w:r>
      <w:r w:rsidR="00672865">
        <w:t xml:space="preserve">. </w:t>
      </w:r>
      <w:r w:rsidR="00525652">
        <w:t>In</w:t>
      </w:r>
      <w:r w:rsidR="000A5488">
        <w:t xml:space="preserve"> addition to the I</w:t>
      </w:r>
      <w:r w:rsidR="005E2580" w:rsidRPr="001F504E">
        <w:t>nternet</w:t>
      </w:r>
      <w:r w:rsidR="00525652">
        <w:t>,</w:t>
      </w:r>
      <w:r w:rsidR="005E2580" w:rsidRPr="001F504E">
        <w:t xml:space="preserve"> users can access </w:t>
      </w:r>
      <w:r w:rsidR="00525652">
        <w:t>other services such as</w:t>
      </w:r>
      <w:r w:rsidR="00C6557A">
        <w:t xml:space="preserve"> </w:t>
      </w:r>
      <w:r w:rsidR="00525652">
        <w:t>telephones</w:t>
      </w:r>
      <w:r w:rsidR="005E2580" w:rsidRPr="001F504E">
        <w:t>, scanner</w:t>
      </w:r>
      <w:r w:rsidR="00525652">
        <w:t>s, printers, and photocopiers</w:t>
      </w:r>
      <w:r w:rsidR="005E2580" w:rsidRPr="001F504E">
        <w:t>.</w:t>
      </w:r>
      <w:r w:rsidR="00525652">
        <w:t xml:space="preserve"> </w:t>
      </w:r>
    </w:p>
    <w:p w14:paraId="4F708653" w14:textId="3FD6B532" w:rsidR="005E2580" w:rsidRDefault="00E92349" w:rsidP="00C64AA3">
      <w:pPr>
        <w:spacing w:after="120"/>
        <w:jc w:val="both"/>
      </w:pPr>
      <w:r>
        <w:t xml:space="preserve">The program </w:t>
      </w:r>
      <w:r w:rsidR="00525652">
        <w:t>offer</w:t>
      </w:r>
      <w:r w:rsidR="00672865">
        <w:t>s</w:t>
      </w:r>
      <w:r w:rsidR="00525652">
        <w:t xml:space="preserve"> </w:t>
      </w:r>
      <w:r w:rsidR="00672865">
        <w:t xml:space="preserve">various levels of </w:t>
      </w:r>
      <w:r w:rsidR="00525652">
        <w:t>training services that educate users about how to us</w:t>
      </w:r>
      <w:r w:rsidR="000A5488">
        <w:t>e these technologies, and m</w:t>
      </w:r>
      <w:r w:rsidR="00867DE6">
        <w:t xml:space="preserve">ost users only </w:t>
      </w:r>
      <w:r w:rsidR="000A5488">
        <w:t>use the</w:t>
      </w:r>
      <w:r w:rsidR="00867DE6">
        <w:t xml:space="preserve"> training</w:t>
      </w:r>
      <w:r w:rsidR="000A5488">
        <w:t>s offered for basic I</w:t>
      </w:r>
      <w:r w:rsidR="00867DE6">
        <w:t>nternet and computing access.</w:t>
      </w:r>
    </w:p>
    <w:p w14:paraId="1C0EF6AB" w14:textId="4C447920" w:rsidR="00F6412C" w:rsidRDefault="001A0F71" w:rsidP="00C64AA3">
      <w:pPr>
        <w:spacing w:after="120"/>
        <w:jc w:val="both"/>
      </w:pPr>
      <w:r>
        <w:t xml:space="preserve">Each </w:t>
      </w:r>
      <w:r w:rsidR="000A5488">
        <w:t>Internet</w:t>
      </w:r>
      <w:r w:rsidR="00672865">
        <w:t xml:space="preserve"> access point </w:t>
      </w:r>
      <w:r>
        <w:t xml:space="preserve">costs </w:t>
      </w:r>
      <w:r w:rsidR="00E92349">
        <w:t>US</w:t>
      </w:r>
      <w:r>
        <w:t>$</w:t>
      </w:r>
      <w:r w:rsidR="00E92349">
        <w:t xml:space="preserve"> </w:t>
      </w:r>
      <w:r>
        <w:t>87,000 per year to operate</w:t>
      </w:r>
      <w:r w:rsidR="00672865">
        <w:t xml:space="preserve">. </w:t>
      </w:r>
      <w:r w:rsidR="0092694F">
        <w:t>A</w:t>
      </w:r>
      <w:r w:rsidR="00672865">
        <w:t xml:space="preserve"> kiosk</w:t>
      </w:r>
      <w:r>
        <w:t xml:space="preserve"> cost</w:t>
      </w:r>
      <w:r w:rsidR="0092694F">
        <w:t>s</w:t>
      </w:r>
      <w:r>
        <w:t xml:space="preserve"> </w:t>
      </w:r>
      <w:r w:rsidR="00E92349">
        <w:t>US</w:t>
      </w:r>
      <w:r>
        <w:t>$</w:t>
      </w:r>
      <w:r w:rsidR="00E92349">
        <w:t xml:space="preserve"> </w:t>
      </w:r>
      <w:r>
        <w:t xml:space="preserve">20,000 up front </w:t>
      </w:r>
      <w:r w:rsidR="0092694F">
        <w:t xml:space="preserve">to install, </w:t>
      </w:r>
      <w:r>
        <w:t>and the re</w:t>
      </w:r>
      <w:r w:rsidR="00672865">
        <w:t>mainder</w:t>
      </w:r>
      <w:r>
        <w:t xml:space="preserve"> is </w:t>
      </w:r>
      <w:r w:rsidR="00672865">
        <w:t xml:space="preserve">the annual </w:t>
      </w:r>
      <w:r>
        <w:t xml:space="preserve">operating cost. Each </w:t>
      </w:r>
      <w:r w:rsidR="00672865">
        <w:t xml:space="preserve">kiosk is equipped </w:t>
      </w:r>
      <w:r w:rsidR="00867DE6">
        <w:t xml:space="preserve">with </w:t>
      </w:r>
      <w:r w:rsidR="00672865">
        <w:t>a telephone, a television, a copy machine, between two and five</w:t>
      </w:r>
      <w:r>
        <w:t xml:space="preserve"> computers, </w:t>
      </w:r>
      <w:r w:rsidR="00672865">
        <w:t xml:space="preserve">and </w:t>
      </w:r>
      <w:r w:rsidR="00D43C49">
        <w:t xml:space="preserve">both </w:t>
      </w:r>
      <w:r w:rsidR="0057065C">
        <w:t>broadband (4 Mbps</w:t>
      </w:r>
      <w:r>
        <w:t xml:space="preserve">) and </w:t>
      </w:r>
      <w:r w:rsidR="00C06EE8">
        <w:t>Wi-Fi I</w:t>
      </w:r>
      <w:r w:rsidR="00672865">
        <w:t>nternet. Users pay a nominal fee of 200 pesos</w:t>
      </w:r>
      <w:r w:rsidR="0092694F">
        <w:t xml:space="preserve"> (</w:t>
      </w:r>
      <w:r w:rsidR="00E92349">
        <w:t>US</w:t>
      </w:r>
      <w:r w:rsidR="0092694F">
        <w:t>$</w:t>
      </w:r>
      <w:r w:rsidR="00E92349">
        <w:t xml:space="preserve"> </w:t>
      </w:r>
      <w:r w:rsidR="0092694F" w:rsidRPr="0092694F">
        <w:t>0.07</w:t>
      </w:r>
      <w:r w:rsidR="0092694F">
        <w:t>)</w:t>
      </w:r>
      <w:r w:rsidR="00672865">
        <w:t xml:space="preserve"> per hour for use of the service. The cost is set deliberately low and is not</w:t>
      </w:r>
      <w:r w:rsidR="0036179C">
        <w:t xml:space="preserve"> a meaningful source of revenue, </w:t>
      </w:r>
      <w:r w:rsidR="00672865">
        <w:t xml:space="preserve">but rather is intended to symbolically habituate users to paying an </w:t>
      </w:r>
      <w:r w:rsidR="0036179C">
        <w:t>ISP</w:t>
      </w:r>
      <w:r w:rsidR="00672865">
        <w:t>.</w:t>
      </w:r>
      <w:r w:rsidR="00D43C49">
        <w:t xml:space="preserve"> </w:t>
      </w:r>
    </w:p>
    <w:p w14:paraId="79E7954A" w14:textId="77777777" w:rsidR="00E92349" w:rsidRDefault="00E92349" w:rsidP="00C64AA3">
      <w:pPr>
        <w:spacing w:after="120"/>
        <w:jc w:val="both"/>
      </w:pPr>
    </w:p>
    <w:tbl>
      <w:tblPr>
        <w:tblStyle w:val="GridTable6Colorful2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790"/>
        <w:gridCol w:w="1980"/>
        <w:gridCol w:w="2648"/>
      </w:tblGrid>
      <w:tr w:rsidR="002D5221" w:rsidRPr="00E92349" w14:paraId="46BDEB19" w14:textId="77777777" w:rsidTr="00E92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5B04159C" w14:textId="7938E183" w:rsidR="002D5221" w:rsidRPr="00E92349" w:rsidRDefault="002D5221" w:rsidP="00E92349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 xml:space="preserve">Project </w:t>
            </w:r>
            <w:r w:rsidR="00E92349" w:rsidRPr="00E92349">
              <w:rPr>
                <w:color w:val="000000"/>
                <w:sz w:val="24"/>
                <w:szCs w:val="24"/>
                <w:lang w:eastAsia="en-US"/>
              </w:rPr>
              <w:t>detail</w:t>
            </w:r>
            <w:r w:rsidR="00423189" w:rsidRPr="00E92349">
              <w:rPr>
                <w:color w:val="000000"/>
                <w:sz w:val="24"/>
                <w:szCs w:val="24"/>
                <w:lang w:eastAsia="en-US"/>
              </w:rPr>
              <w:t>s</w:t>
            </w:r>
          </w:p>
        </w:tc>
      </w:tr>
      <w:tr w:rsidR="00E92349" w:rsidRPr="00E92349" w14:paraId="7FBE0794" w14:textId="77777777" w:rsidTr="00E9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7EF0E75C" w14:textId="1907804E" w:rsidR="00E92349" w:rsidRPr="00E92349" w:rsidRDefault="00E92349" w:rsidP="00E92349">
            <w:pPr>
              <w:jc w:val="center"/>
              <w:rPr>
                <w:b w:val="0"/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sz w:val="24"/>
                <w:szCs w:val="24"/>
              </w:rPr>
              <w:t>Technology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AE8A6FC" w14:textId="4FD1FC8A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Satellite Internet and telephone service, computers, printers, scanners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A5B0769" w14:textId="3D8E56F6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92349">
              <w:rPr>
                <w:b/>
                <w:sz w:val="24"/>
                <w:szCs w:val="24"/>
              </w:rPr>
              <w:t>Training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21381659" w14:textId="2DF40234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sz w:val="24"/>
                <w:szCs w:val="24"/>
              </w:rPr>
              <w:t>Basic and advanced user training, virtual assistance</w:t>
            </w:r>
          </w:p>
        </w:tc>
      </w:tr>
      <w:tr w:rsidR="00E92349" w:rsidRPr="00E92349" w14:paraId="35D0C697" w14:textId="77777777" w:rsidTr="00E9234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3835C243" w14:textId="0BC5E964" w:rsidR="00E92349" w:rsidRPr="00E92349" w:rsidRDefault="00E92349" w:rsidP="00E92349">
            <w:pPr>
              <w:jc w:val="center"/>
              <w:rPr>
                <w:sz w:val="24"/>
                <w:szCs w:val="24"/>
              </w:rPr>
            </w:pPr>
            <w:r w:rsidRPr="00E92349">
              <w:rPr>
                <w:sz w:val="24"/>
                <w:szCs w:val="24"/>
              </w:rPr>
              <w:t>Year program started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16A43CF" w14:textId="0E308219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2001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4B809E7" w14:textId="704C6367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b/>
                <w:color w:val="000000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0360DB7C" w14:textId="3D0584FC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US$ 0.07 per hour of service</w:t>
            </w:r>
          </w:p>
        </w:tc>
      </w:tr>
      <w:tr w:rsidR="00E92349" w:rsidRPr="00E92349" w14:paraId="26C6D335" w14:textId="77777777" w:rsidTr="00E92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255F5E95" w14:textId="21393976" w:rsidR="00E92349" w:rsidRPr="00E92349" w:rsidRDefault="00E92349" w:rsidP="00E92349">
            <w:pPr>
              <w:jc w:val="center"/>
              <w:rPr>
                <w:b w:val="0"/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6BC37CB" w14:textId="7C47EFFF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Rural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DB55365" w14:textId="7BD72D69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b/>
                <w:sz w:val="24"/>
                <w:szCs w:val="24"/>
              </w:rPr>
              <w:t>Total cost of program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63495E51" w14:textId="77777777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Fixed cost: US$ 20,000 per access point</w:t>
            </w:r>
          </w:p>
          <w:p w14:paraId="004D0BB5" w14:textId="46C8BC78" w:rsidR="00E92349" w:rsidRPr="00E92349" w:rsidRDefault="00E92349" w:rsidP="00E9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 xml:space="preserve"> Operational cost: </w:t>
            </w:r>
            <w:r w:rsidR="0072295A">
              <w:rPr>
                <w:color w:val="000000"/>
                <w:sz w:val="24"/>
                <w:szCs w:val="24"/>
                <w:lang w:eastAsia="en-US"/>
              </w:rPr>
              <w:t>US</w:t>
            </w:r>
            <w:r w:rsidRPr="00E92349">
              <w:rPr>
                <w:color w:val="000000"/>
                <w:sz w:val="24"/>
                <w:szCs w:val="24"/>
                <w:lang w:eastAsia="en-US"/>
              </w:rPr>
              <w:t>$</w:t>
            </w:r>
            <w:r w:rsidR="0072295A">
              <w:rPr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92349">
              <w:rPr>
                <w:color w:val="000000"/>
                <w:sz w:val="24"/>
                <w:szCs w:val="24"/>
                <w:lang w:eastAsia="en-US"/>
              </w:rPr>
              <w:t>87,000 per year per access point</w:t>
            </w:r>
          </w:p>
        </w:tc>
      </w:tr>
      <w:tr w:rsidR="00E92349" w:rsidRPr="00E92349" w14:paraId="4B577657" w14:textId="77777777" w:rsidTr="00E9234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34A1516D" w14:textId="18AAEE9E" w:rsidR="00E92349" w:rsidRPr="00E92349" w:rsidRDefault="00E92349" w:rsidP="00E92349">
            <w:pPr>
              <w:jc w:val="center"/>
              <w:rPr>
                <w:sz w:val="24"/>
                <w:szCs w:val="24"/>
              </w:rPr>
            </w:pPr>
            <w:r w:rsidRPr="00E92349">
              <w:rPr>
                <w:sz w:val="24"/>
                <w:szCs w:val="24"/>
              </w:rPr>
              <w:t>User profile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BBD9B2A" w14:textId="0A86E2C7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sz w:val="24"/>
                <w:szCs w:val="24"/>
              </w:rPr>
              <w:t>Rural, students in schools where the computers are installed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3F6688F" w14:textId="69DC2D10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b/>
                <w:sz w:val="24"/>
                <w:szCs w:val="24"/>
              </w:rPr>
              <w:t>Associated organizations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087BE0FC" w14:textId="1E6D5D27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2349">
              <w:rPr>
                <w:sz w:val="24"/>
                <w:szCs w:val="24"/>
              </w:rPr>
              <w:t>Ministry of Information Technology and Communications,</w:t>
            </w:r>
          </w:p>
          <w:p w14:paraId="3F1608AC" w14:textId="1638DC6F" w:rsidR="00E92349" w:rsidRPr="00E92349" w:rsidRDefault="00E92349" w:rsidP="00E9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n-US"/>
              </w:rPr>
            </w:pPr>
            <w:r w:rsidRPr="00E92349">
              <w:rPr>
                <w:color w:val="000000"/>
                <w:sz w:val="24"/>
                <w:szCs w:val="24"/>
                <w:lang w:eastAsia="en-US"/>
              </w:rPr>
              <w:t>National High-Speed Connectivity Project</w:t>
            </w:r>
          </w:p>
        </w:tc>
      </w:tr>
    </w:tbl>
    <w:p w14:paraId="5EA84BF5" w14:textId="1372EBB5" w:rsidR="00286CB9" w:rsidRPr="00DF1DE5" w:rsidRDefault="00B033D4" w:rsidP="00C64AA3">
      <w:pPr>
        <w:pStyle w:val="Heading1"/>
        <w:numPr>
          <w:ilvl w:val="0"/>
          <w:numId w:val="0"/>
        </w:numPr>
        <w:spacing w:after="120" w:line="240" w:lineRule="auto"/>
        <w:jc w:val="both"/>
      </w:pPr>
      <w:r>
        <w:rPr>
          <w:rFonts w:ascii="Georgia" w:hAnsi="Georgia"/>
          <w:b w:val="0"/>
        </w:rPr>
        <w:t>Progress and Results</w:t>
      </w:r>
    </w:p>
    <w:p w14:paraId="37381EED" w14:textId="5B7D972B" w:rsidR="00174C3B" w:rsidRPr="00656586" w:rsidRDefault="002916CE" w:rsidP="00C64AA3">
      <w:pPr>
        <w:spacing w:after="120"/>
        <w:jc w:val="both"/>
      </w:pPr>
      <w:r>
        <w:t>Although t</w:t>
      </w:r>
      <w:r w:rsidR="00F6412C">
        <w:t xml:space="preserve">he project </w:t>
      </w:r>
      <w:r w:rsidR="007D249C">
        <w:t xml:space="preserve">has been operational since 2001, </w:t>
      </w:r>
      <w:r w:rsidR="00B3269E">
        <w:t>its development proceeds in four</w:t>
      </w:r>
      <w:r>
        <w:t xml:space="preserve">-year planning increments. It </w:t>
      </w:r>
      <w:r w:rsidR="007D249C">
        <w:t xml:space="preserve">is currently operating under </w:t>
      </w:r>
      <w:r w:rsidR="007D249C" w:rsidRPr="007D249C">
        <w:t>the Vive Digital Plan 2014-2018</w:t>
      </w:r>
      <w:r>
        <w:t xml:space="preserve">, which </w:t>
      </w:r>
      <w:r w:rsidR="005B4B3A">
        <w:t>includes a three-phase implementation strategy built into its design</w:t>
      </w:r>
      <w:r w:rsidR="00F6412C">
        <w:t>.</w:t>
      </w:r>
      <w:r w:rsidR="003311FE">
        <w:t xml:space="preserve"> </w:t>
      </w:r>
      <w:r w:rsidR="00F81EF6">
        <w:t xml:space="preserve">In </w:t>
      </w:r>
      <w:r w:rsidR="005B4B3A">
        <w:t>phase one, ICTs</w:t>
      </w:r>
      <w:r w:rsidR="007D249C">
        <w:t xml:space="preserve"> </w:t>
      </w:r>
      <w:r w:rsidR="00F81EF6">
        <w:t xml:space="preserve">already installed by KVD in a number of rural communities were supplemented with training programs </w:t>
      </w:r>
      <w:r w:rsidR="00F81EF6" w:rsidRPr="00F81EF6">
        <w:t>developed according to the interests and needs of each region</w:t>
      </w:r>
      <w:r w:rsidR="009401B2">
        <w:t>. Phase one</w:t>
      </w:r>
      <w:r w:rsidR="00F81EF6">
        <w:t xml:space="preserve"> </w:t>
      </w:r>
      <w:r w:rsidR="00F6412C">
        <w:t>en</w:t>
      </w:r>
      <w:r w:rsidR="007D249C">
        <w:t>ded</w:t>
      </w:r>
      <w:r w:rsidR="00F6412C">
        <w:t xml:space="preserve"> </w:t>
      </w:r>
      <w:r w:rsidR="007D249C">
        <w:t xml:space="preserve">at the beginning </w:t>
      </w:r>
      <w:r w:rsidR="007D249C">
        <w:lastRenderedPageBreak/>
        <w:t>of</w:t>
      </w:r>
      <w:r w:rsidR="00F6412C">
        <w:t xml:space="preserve"> 2016. </w:t>
      </w:r>
      <w:r w:rsidR="009401B2">
        <w:t>During</w:t>
      </w:r>
      <w:r w:rsidR="00F81EF6">
        <w:t xml:space="preserve"> </w:t>
      </w:r>
      <w:r w:rsidR="009401B2">
        <w:t>phase two,</w:t>
      </w:r>
      <w:r w:rsidR="00F6412C">
        <w:t xml:space="preserve"> </w:t>
      </w:r>
      <w:r w:rsidR="003311FE">
        <w:t xml:space="preserve">an additional </w:t>
      </w:r>
      <w:r w:rsidR="003311FE" w:rsidRPr="003311FE">
        <w:t>5</w:t>
      </w:r>
      <w:r w:rsidR="009401B2">
        <w:t>,</w:t>
      </w:r>
      <w:r w:rsidR="003311FE" w:rsidRPr="003311FE">
        <w:t>524</w:t>
      </w:r>
      <w:r w:rsidR="003311FE">
        <w:t xml:space="preserve"> kiosks were installed in schools for educational and community use, with the specific aim of enabling communities to use and access othe</w:t>
      </w:r>
      <w:r w:rsidR="009401B2">
        <w:t>r government services that are I</w:t>
      </w:r>
      <w:r w:rsidR="003311FE">
        <w:t>nternet-dependent.</w:t>
      </w:r>
      <w:r w:rsidR="00656586">
        <w:t xml:space="preserve"> </w:t>
      </w:r>
      <w:r w:rsidR="003311FE">
        <w:t xml:space="preserve">In </w:t>
      </w:r>
      <w:r w:rsidR="009401B2">
        <w:t>phase three</w:t>
      </w:r>
      <w:r w:rsidR="00F6412C">
        <w:t xml:space="preserve">, </w:t>
      </w:r>
      <w:r w:rsidR="003311FE">
        <w:t xml:space="preserve">an </w:t>
      </w:r>
      <w:r w:rsidR="003311FE" w:rsidRPr="003311FE">
        <w:t xml:space="preserve">additional </w:t>
      </w:r>
      <w:r w:rsidR="00F6412C" w:rsidRPr="003311FE">
        <w:t xml:space="preserve">1,231 </w:t>
      </w:r>
      <w:r w:rsidR="003311FE" w:rsidRPr="003311FE">
        <w:t xml:space="preserve">kiosks </w:t>
      </w:r>
      <w:r w:rsidR="009401B2">
        <w:t>were</w:t>
      </w:r>
      <w:r w:rsidR="003311FE" w:rsidRPr="003311FE">
        <w:t xml:space="preserve"> installed.</w:t>
      </w:r>
      <w:r w:rsidR="003311FE">
        <w:t xml:space="preserve"> </w:t>
      </w:r>
      <w:r w:rsidR="00F6412C">
        <w:t xml:space="preserve">As part of the </w:t>
      </w:r>
      <w:r w:rsidR="00E92349">
        <w:rPr>
          <w:color w:val="000000"/>
        </w:rPr>
        <w:t xml:space="preserve">National High-Speed </w:t>
      </w:r>
      <w:r w:rsidR="00F6412C" w:rsidRPr="00331392">
        <w:rPr>
          <w:color w:val="000000"/>
        </w:rPr>
        <w:t>Connectivity Project</w:t>
      </w:r>
      <w:r w:rsidR="00F6412C">
        <w:rPr>
          <w:color w:val="000000"/>
        </w:rPr>
        <w:t xml:space="preserve">, 953 </w:t>
      </w:r>
      <w:r w:rsidR="003311FE">
        <w:rPr>
          <w:color w:val="000000"/>
        </w:rPr>
        <w:t>more</w:t>
      </w:r>
      <w:r w:rsidR="00F6412C">
        <w:rPr>
          <w:color w:val="000000"/>
        </w:rPr>
        <w:t xml:space="preserve"> kiosks will be installed in </w:t>
      </w:r>
      <w:r w:rsidR="00F6412C" w:rsidRPr="00FC6D42">
        <w:rPr>
          <w:color w:val="000000"/>
        </w:rPr>
        <w:t xml:space="preserve">the Amazon, </w:t>
      </w:r>
      <w:proofErr w:type="spellStart"/>
      <w:r w:rsidR="00F6412C" w:rsidRPr="00FC6D42">
        <w:rPr>
          <w:color w:val="000000"/>
        </w:rPr>
        <w:t>Orinoquía</w:t>
      </w:r>
      <w:proofErr w:type="spellEnd"/>
      <w:r w:rsidR="009401B2">
        <w:rPr>
          <w:color w:val="000000"/>
        </w:rPr>
        <w:t>,</w:t>
      </w:r>
      <w:r w:rsidR="00F6412C" w:rsidRPr="00FC6D42">
        <w:rPr>
          <w:color w:val="000000"/>
        </w:rPr>
        <w:t xml:space="preserve"> and </w:t>
      </w:r>
      <w:proofErr w:type="spellStart"/>
      <w:r w:rsidR="00F6412C" w:rsidRPr="00FC6D42">
        <w:rPr>
          <w:color w:val="000000"/>
        </w:rPr>
        <w:t>Chocó</w:t>
      </w:r>
      <w:r w:rsidR="00F6412C">
        <w:rPr>
          <w:color w:val="000000"/>
        </w:rPr>
        <w:t>as</w:t>
      </w:r>
      <w:proofErr w:type="spellEnd"/>
      <w:r w:rsidR="009401B2">
        <w:rPr>
          <w:color w:val="000000"/>
        </w:rPr>
        <w:t xml:space="preserve"> regions as well, where </w:t>
      </w:r>
      <w:r w:rsidR="003311FE">
        <w:rPr>
          <w:color w:val="000000"/>
        </w:rPr>
        <w:t xml:space="preserve">130 of those have </w:t>
      </w:r>
      <w:r w:rsidR="009401B2">
        <w:rPr>
          <w:color w:val="000000"/>
        </w:rPr>
        <w:t xml:space="preserve">already </w:t>
      </w:r>
      <w:r w:rsidR="003311FE">
        <w:rPr>
          <w:color w:val="000000"/>
        </w:rPr>
        <w:t>been installed.</w:t>
      </w:r>
    </w:p>
    <w:p w14:paraId="1721ADED" w14:textId="44F7D0A4" w:rsidR="00E65187" w:rsidRDefault="00EB4056" w:rsidP="00C64AA3">
      <w:pPr>
        <w:spacing w:after="120"/>
        <w:jc w:val="both"/>
      </w:pPr>
      <w:r>
        <w:t>KVD t</w:t>
      </w:r>
      <w:r w:rsidR="00F6412C">
        <w:t>rain</w:t>
      </w:r>
      <w:r>
        <w:t>s approximately 20,000 people per year across all 7,000 locations.</w:t>
      </w:r>
      <w:r w:rsidR="003311FE">
        <w:t xml:space="preserve"> </w:t>
      </w:r>
      <w:r w:rsidR="00F6412C">
        <w:t xml:space="preserve">The initiative has been successful where installed because </w:t>
      </w:r>
      <w:r w:rsidR="003026B2">
        <w:t>I</w:t>
      </w:r>
      <w:r>
        <w:t xml:space="preserve">nternet services are </w:t>
      </w:r>
      <w:r w:rsidR="003311FE">
        <w:t>necess</w:t>
      </w:r>
      <w:r w:rsidR="003026B2">
        <w:t>ary to access many government</w:t>
      </w:r>
      <w:r w:rsidR="003311FE">
        <w:t xml:space="preserve"> services, there are no competitors, and users like the service</w:t>
      </w:r>
      <w:r w:rsidR="00F6412C">
        <w:t xml:space="preserve">. </w:t>
      </w:r>
      <w:r>
        <w:t xml:space="preserve">The training </w:t>
      </w:r>
      <w:r w:rsidR="003026B2">
        <w:t>programs are also well attended</w:t>
      </w:r>
      <w:r>
        <w:t xml:space="preserve">, but mainly at the basic level. More advanced and specialized training programs are less </w:t>
      </w:r>
      <w:r w:rsidR="003026B2">
        <w:t>used</w:t>
      </w:r>
      <w:r>
        <w:t>.</w:t>
      </w:r>
      <w:r w:rsidR="003311FE">
        <w:t xml:space="preserve"> KVD uploads user s</w:t>
      </w:r>
      <w:r w:rsidR="00E65187">
        <w:t xml:space="preserve">uccess stories to </w:t>
      </w:r>
      <w:r w:rsidR="00E65187" w:rsidRPr="00B033D4">
        <w:t>YouTube</w:t>
      </w:r>
      <w:r w:rsidR="003311FE">
        <w:t>, and they maintain a digital map of their service locations.</w:t>
      </w:r>
    </w:p>
    <w:p w14:paraId="5CCD909F" w14:textId="7C1D300C" w:rsidR="0081633A" w:rsidRPr="00174C3B" w:rsidRDefault="003311FE" w:rsidP="00C64AA3">
      <w:pPr>
        <w:spacing w:after="120"/>
        <w:jc w:val="both"/>
      </w:pPr>
      <w:r>
        <w:t>At present</w:t>
      </w:r>
      <w:r w:rsidR="000240AE">
        <w:t>,</w:t>
      </w:r>
      <w:r>
        <w:t xml:space="preserve"> KVD has installed and provides services to 7,0</w:t>
      </w:r>
      <w:r w:rsidR="00656586">
        <w:t>00 locations nationally. T</w:t>
      </w:r>
      <w:r w:rsidR="004E5D52">
        <w:t xml:space="preserve">his is insufficient given that, of the 43,000 public schools in Colombia, </w:t>
      </w:r>
      <w:r>
        <w:t>approximately 34,000</w:t>
      </w:r>
      <w:r w:rsidR="004E5D52">
        <w:t xml:space="preserve"> of them are</w:t>
      </w:r>
      <w:r>
        <w:t xml:space="preserve"> rural schools where kiosks could be installed</w:t>
      </w:r>
      <w:r w:rsidR="00656586">
        <w:t>, but there is not sufficient funding to scale the project up to meet that need at this time.</w:t>
      </w:r>
    </w:p>
    <w:p w14:paraId="7CFD7738" w14:textId="57E99ED9" w:rsidR="00064898" w:rsidRPr="00064898" w:rsidRDefault="00064898" w:rsidP="00C64AA3">
      <w:pPr>
        <w:pStyle w:val="Heading1"/>
        <w:numPr>
          <w:ilvl w:val="0"/>
          <w:numId w:val="0"/>
        </w:numPr>
        <w:spacing w:after="120" w:line="240" w:lineRule="auto"/>
        <w:ind w:left="432" w:hanging="432"/>
        <w:jc w:val="both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Challenges</w:t>
      </w:r>
    </w:p>
    <w:p w14:paraId="2CF1C1FB" w14:textId="1F13B5B1" w:rsidR="00E54A65" w:rsidRPr="006645E9" w:rsidRDefault="001E3720" w:rsidP="00C64AA3">
      <w:pPr>
        <w:spacing w:after="120"/>
        <w:jc w:val="both"/>
        <w:rPr>
          <w:b/>
        </w:rPr>
      </w:pPr>
      <w:r>
        <w:rPr>
          <w:b/>
        </w:rPr>
        <w:t>Lack of power i</w:t>
      </w:r>
      <w:r w:rsidR="00F514C3" w:rsidRPr="00827452">
        <w:rPr>
          <w:b/>
        </w:rPr>
        <w:t>nfrastructure</w:t>
      </w:r>
      <w:r w:rsidR="00B033D4">
        <w:rPr>
          <w:b/>
        </w:rPr>
        <w:t xml:space="preserve"> – </w:t>
      </w:r>
      <w:r w:rsidR="0035074A">
        <w:t>Internet access requires electricity, which most of the areas served do not have</w:t>
      </w:r>
      <w:r w:rsidR="002C2727">
        <w:t>. KVD</w:t>
      </w:r>
      <w:r w:rsidR="005E2580">
        <w:t xml:space="preserve"> has been implementing solar power alongside its kiosks in order to make them functional</w:t>
      </w:r>
      <w:r w:rsidR="00E54A65">
        <w:t>, but this adds a burden to their operating and installation c</w:t>
      </w:r>
      <w:r w:rsidR="000240AE">
        <w:t>osts. The installation of fiber-</w:t>
      </w:r>
      <w:r w:rsidR="00E54A65">
        <w:t xml:space="preserve">optic cables for telecommunications and </w:t>
      </w:r>
      <w:r w:rsidR="000240AE">
        <w:t>Internet</w:t>
      </w:r>
      <w:r w:rsidR="00E54A65">
        <w:t xml:space="preserve"> takes a prohibitively long time and is urban-centric, </w:t>
      </w:r>
      <w:r w:rsidR="00E65187">
        <w:t xml:space="preserve">which is itself a challenge. As a consequence, </w:t>
      </w:r>
      <w:r w:rsidR="00E54A65">
        <w:t xml:space="preserve">they are reliant on satellite technology </w:t>
      </w:r>
      <w:r w:rsidR="00E65187">
        <w:t xml:space="preserve">to provide services, which </w:t>
      </w:r>
      <w:r w:rsidR="00E54A65">
        <w:t>is more expensive.</w:t>
      </w:r>
    </w:p>
    <w:p w14:paraId="05E89CDB" w14:textId="49597A68" w:rsidR="00F6412C" w:rsidRPr="006645E9" w:rsidRDefault="001E3720" w:rsidP="00C64AA3">
      <w:pPr>
        <w:spacing w:after="120"/>
        <w:jc w:val="both"/>
        <w:rPr>
          <w:b/>
        </w:rPr>
      </w:pPr>
      <w:r>
        <w:rPr>
          <w:b/>
        </w:rPr>
        <w:t>Fluctuations in g</w:t>
      </w:r>
      <w:r w:rsidR="00B033D4">
        <w:rPr>
          <w:b/>
        </w:rPr>
        <w:t>overnmental s</w:t>
      </w:r>
      <w:r w:rsidR="00E54A65">
        <w:rPr>
          <w:b/>
        </w:rPr>
        <w:t>upport</w:t>
      </w:r>
      <w:r w:rsidR="00B033D4">
        <w:rPr>
          <w:b/>
        </w:rPr>
        <w:t xml:space="preserve"> – </w:t>
      </w:r>
      <w:r w:rsidR="00E54A65">
        <w:t>At b</w:t>
      </w:r>
      <w:r w:rsidR="00BF18EB">
        <w:t xml:space="preserve">oth </w:t>
      </w:r>
      <w:r w:rsidR="000240AE">
        <w:t xml:space="preserve">the </w:t>
      </w:r>
      <w:r w:rsidR="00BF18EB">
        <w:t xml:space="preserve">local and national </w:t>
      </w:r>
      <w:r w:rsidR="00AC65E0">
        <w:t>level,</w:t>
      </w:r>
      <w:r w:rsidR="00E54A65">
        <w:t xml:space="preserve"> the project </w:t>
      </w:r>
      <w:r w:rsidR="00AC65E0">
        <w:t>experiences</w:t>
      </w:r>
      <w:r w:rsidR="00BF18EB">
        <w:t xml:space="preserve"> </w:t>
      </w:r>
      <w:r w:rsidR="00E54A65">
        <w:t>the challenge</w:t>
      </w:r>
      <w:r w:rsidR="00BF18EB">
        <w:t xml:space="preserve"> of government </w:t>
      </w:r>
      <w:r w:rsidR="00E54A65">
        <w:t xml:space="preserve">support and </w:t>
      </w:r>
      <w:r w:rsidR="00BF18EB">
        <w:t xml:space="preserve">resources being prioritized </w:t>
      </w:r>
      <w:r w:rsidR="00AC65E0">
        <w:t>elsewhere</w:t>
      </w:r>
      <w:r w:rsidR="00BF18EB">
        <w:t xml:space="preserve">. At the local level, </w:t>
      </w:r>
      <w:r w:rsidR="00E65187">
        <w:t>it can be difficult to establish t</w:t>
      </w:r>
      <w:r w:rsidR="00AC65E0">
        <w:t>he I</w:t>
      </w:r>
      <w:r w:rsidR="00E65187">
        <w:t>nternet as a priority among leaders in communities that lack basic services and electricity because it seems like a less pressing concern. But access to basic services often depends on or is facil</w:t>
      </w:r>
      <w:r w:rsidR="00AC65E0">
        <w:t>itated by having access to the I</w:t>
      </w:r>
      <w:r w:rsidR="00E65187">
        <w:t>nternet</w:t>
      </w:r>
      <w:r w:rsidR="00AC65E0">
        <w:t xml:space="preserve"> and vice versa</w:t>
      </w:r>
      <w:r w:rsidR="00E65187">
        <w:t xml:space="preserve">. </w:t>
      </w:r>
      <w:r w:rsidR="00BF18EB">
        <w:t xml:space="preserve">At the national level, </w:t>
      </w:r>
      <w:r w:rsidR="0035074A">
        <w:t>funding priorities change with administrations.</w:t>
      </w:r>
      <w:r w:rsidR="00F6412C" w:rsidRPr="00F6412C">
        <w:t xml:space="preserve"> </w:t>
      </w:r>
      <w:r w:rsidR="00AC65E0">
        <w:t>Financing is on a four</w:t>
      </w:r>
      <w:r w:rsidR="00F6412C">
        <w:t>-year cycle, so</w:t>
      </w:r>
      <w:r w:rsidR="00E65187">
        <w:t xml:space="preserve"> KVD has</w:t>
      </w:r>
      <w:r w:rsidR="00F6412C">
        <w:t xml:space="preserve"> to produce a new business plan every term</w:t>
      </w:r>
      <w:r w:rsidR="00E65187">
        <w:t>, making long-term planning and growth difficult</w:t>
      </w:r>
      <w:r w:rsidR="00F6412C">
        <w:t>.</w:t>
      </w:r>
      <w:r w:rsidR="00EB4056">
        <w:t xml:space="preserve"> The universal services fund out of which government sponsorship fo</w:t>
      </w:r>
      <w:r w:rsidR="00AC65E0">
        <w:t>r KVD emerged</w:t>
      </w:r>
      <w:r w:rsidR="00EB4056">
        <w:t xml:space="preserve"> also sponsors a variety of rural programs (e.g.</w:t>
      </w:r>
      <w:r w:rsidR="00AC65E0">
        <w:t>,</w:t>
      </w:r>
      <w:r w:rsidR="00496C86">
        <w:t xml:space="preserve"> healthcare and</w:t>
      </w:r>
      <w:r w:rsidR="00EB4056">
        <w:t xml:space="preserve"> education</w:t>
      </w:r>
      <w:r w:rsidR="00496C86">
        <w:t>al initiatives</w:t>
      </w:r>
      <w:r w:rsidR="00EB4056">
        <w:t xml:space="preserve">) that are themselves dependent on </w:t>
      </w:r>
      <w:r w:rsidR="00496C86">
        <w:t>Internet</w:t>
      </w:r>
      <w:r w:rsidR="00EB4056">
        <w:t xml:space="preserve"> service, which requires </w:t>
      </w:r>
      <w:r w:rsidR="00496C86">
        <w:t>significant</w:t>
      </w:r>
      <w:r w:rsidR="00EB4056">
        <w:t xml:space="preserve"> technical support. There is some ambiguity about whose fiscal responsibility </w:t>
      </w:r>
      <w:r w:rsidR="00496C86">
        <w:t xml:space="preserve">such support is as well, </w:t>
      </w:r>
      <w:r w:rsidR="00EB4056">
        <w:t>which adds to the operating costs of the KVD project.</w:t>
      </w:r>
    </w:p>
    <w:p w14:paraId="0D416F6D" w14:textId="3940EAB2" w:rsidR="00827452" w:rsidRPr="006645E9" w:rsidRDefault="001E3720" w:rsidP="00C64AA3">
      <w:pPr>
        <w:spacing w:after="120"/>
        <w:jc w:val="both"/>
        <w:rPr>
          <w:b/>
        </w:rPr>
      </w:pPr>
      <w:r>
        <w:rPr>
          <w:b/>
        </w:rPr>
        <w:t>Long term planning made difficult</w:t>
      </w:r>
      <w:r w:rsidR="00602AF5">
        <w:rPr>
          <w:b/>
        </w:rPr>
        <w:t xml:space="preserve"> –</w:t>
      </w:r>
      <w:r w:rsidR="006645E9">
        <w:rPr>
          <w:b/>
        </w:rPr>
        <w:t xml:space="preserve"> </w:t>
      </w:r>
      <w:r w:rsidR="00E54A65">
        <w:t>T</w:t>
      </w:r>
      <w:r w:rsidR="00827452">
        <w:t xml:space="preserve">he </w:t>
      </w:r>
      <w:r w:rsidR="00E54A65">
        <w:t xml:space="preserve">four-year </w:t>
      </w:r>
      <w:r w:rsidR="00827452">
        <w:t xml:space="preserve">cycle of </w:t>
      </w:r>
      <w:r w:rsidR="00E54A65">
        <w:t>governmental</w:t>
      </w:r>
      <w:r w:rsidR="00827452">
        <w:t xml:space="preserve"> administrations makes</w:t>
      </w:r>
      <w:r w:rsidR="005E2580">
        <w:t xml:space="preserve"> long-term planning difficult</w:t>
      </w:r>
      <w:r w:rsidR="00496C86">
        <w:t xml:space="preserve">. Ideally, </w:t>
      </w:r>
      <w:r w:rsidR="00E54A65">
        <w:t xml:space="preserve">the program would be operated with </w:t>
      </w:r>
      <w:r w:rsidR="00F6412C">
        <w:t xml:space="preserve">long-term </w:t>
      </w:r>
      <w:r w:rsidR="00E54A65">
        <w:t>initiatives</w:t>
      </w:r>
      <w:r w:rsidR="00F6412C">
        <w:t xml:space="preserve"> that are more apace with the protracted timescale</w:t>
      </w:r>
      <w:r w:rsidR="0081633A">
        <w:t xml:space="preserve"> of infrastructural development. Presently, however, t</w:t>
      </w:r>
      <w:r w:rsidR="00F6412C">
        <w:t xml:space="preserve">hey </w:t>
      </w:r>
      <w:r w:rsidR="00E54A65">
        <w:t xml:space="preserve">can only count on being able to complete initiatives that can be resolved before a new set of </w:t>
      </w:r>
      <w:r w:rsidR="004E5D52">
        <w:t xml:space="preserve">budgetary priorities cycles in. Only 7,000 of Colombia’s 34,000 rural schools are served by KVD </w:t>
      </w:r>
      <w:r w:rsidR="00F6412C">
        <w:t>because there is not a sufficient or reliable budget to sustain more.</w:t>
      </w:r>
    </w:p>
    <w:p w14:paraId="0ECA4D3D" w14:textId="41140EE4" w:rsidR="00286CB9" w:rsidRPr="00064898" w:rsidRDefault="00602AF5" w:rsidP="00C64AA3">
      <w:pPr>
        <w:pStyle w:val="Heading1"/>
        <w:numPr>
          <w:ilvl w:val="0"/>
          <w:numId w:val="0"/>
        </w:numPr>
        <w:spacing w:after="120" w:line="240" w:lineRule="auto"/>
        <w:ind w:left="432" w:hanging="432"/>
        <w:jc w:val="both"/>
        <w:rPr>
          <w:rFonts w:ascii="Georgia" w:hAnsi="Georgia"/>
          <w:b w:val="0"/>
        </w:rPr>
      </w:pPr>
      <w:r>
        <w:rPr>
          <w:rFonts w:ascii="Georgia" w:hAnsi="Georgia"/>
          <w:b w:val="0"/>
        </w:rPr>
        <w:lastRenderedPageBreak/>
        <w:t>KVD’</w:t>
      </w:r>
      <w:r w:rsidR="00286CB9" w:rsidRPr="00E30F5F">
        <w:rPr>
          <w:rFonts w:ascii="Georgia" w:hAnsi="Georgia"/>
          <w:b w:val="0"/>
        </w:rPr>
        <w:t>s</w:t>
      </w:r>
      <w:r>
        <w:rPr>
          <w:rFonts w:ascii="Georgia" w:hAnsi="Georgia"/>
          <w:b w:val="0"/>
        </w:rPr>
        <w:t xml:space="preserve"> Suggestions for Future Projects</w:t>
      </w:r>
    </w:p>
    <w:p w14:paraId="17D2D2D0" w14:textId="50514735" w:rsidR="006F3D92" w:rsidRDefault="00366DF3" w:rsidP="00C64AA3">
      <w:pPr>
        <w:spacing w:after="120"/>
        <w:jc w:val="both"/>
      </w:pPr>
      <w:r>
        <w:rPr>
          <w:b/>
        </w:rPr>
        <w:t>Innovative alternatives in</w:t>
      </w:r>
      <w:r w:rsidRPr="00366DF3">
        <w:rPr>
          <w:b/>
        </w:rPr>
        <w:t xml:space="preserve"> rural infrastructure</w:t>
      </w:r>
      <w:r w:rsidR="001E3720">
        <w:rPr>
          <w:b/>
        </w:rPr>
        <w:t xml:space="preserve"> exist and should be capitalized upon</w:t>
      </w:r>
      <w:r>
        <w:t xml:space="preserve"> – </w:t>
      </w:r>
      <w:r w:rsidR="00E65187">
        <w:t xml:space="preserve">Fiber optics </w:t>
      </w:r>
      <w:r w:rsidR="00031581">
        <w:t>can take years and even</w:t>
      </w:r>
      <w:r w:rsidR="00E65187">
        <w:t xml:space="preserve"> decades to install in urban environments, and </w:t>
      </w:r>
      <w:r w:rsidR="00031581">
        <w:t xml:space="preserve">longer still </w:t>
      </w:r>
      <w:r w:rsidR="00E65187">
        <w:t>in rural ones</w:t>
      </w:r>
      <w:r w:rsidR="00031581">
        <w:t xml:space="preserve"> with less robust infrastructure. T</w:t>
      </w:r>
      <w:r w:rsidR="00E65187">
        <w:t>here is a need fo</w:t>
      </w:r>
      <w:r>
        <w:t>r alternative means to provide I</w:t>
      </w:r>
      <w:r w:rsidR="00E65187">
        <w:t>nternet services in the meantime so that remote communities are served.</w:t>
      </w:r>
      <w:r w:rsidR="006645E9">
        <w:t xml:space="preserve"> Satellite is one </w:t>
      </w:r>
      <w:r w:rsidR="00F630C2">
        <w:t>way</w:t>
      </w:r>
      <w:r w:rsidR="006645E9">
        <w:t>, but it is expensive.</w:t>
      </w:r>
    </w:p>
    <w:p w14:paraId="6F7ED987" w14:textId="4FCD5381" w:rsidR="00E65187" w:rsidRPr="00E65187" w:rsidRDefault="00AB3210" w:rsidP="00C64AA3">
      <w:pPr>
        <w:spacing w:after="120"/>
        <w:jc w:val="both"/>
      </w:pPr>
      <w:r w:rsidRPr="00AB3210">
        <w:rPr>
          <w:b/>
        </w:rPr>
        <w:t>Community engagement and government support</w:t>
      </w:r>
      <w:r w:rsidR="001E3720">
        <w:rPr>
          <w:b/>
        </w:rPr>
        <w:t xml:space="preserve"> are essential</w:t>
      </w:r>
      <w:r w:rsidRPr="00AB3210">
        <w:rPr>
          <w:b/>
        </w:rPr>
        <w:t xml:space="preserve"> – </w:t>
      </w:r>
      <w:r w:rsidR="00E65187">
        <w:t xml:space="preserve">Local governmental and community support for the project </w:t>
      </w:r>
      <w:r w:rsidR="00F64CD8">
        <w:t>are</w:t>
      </w:r>
      <w:r w:rsidR="00E65187">
        <w:t xml:space="preserve"> vital to its success. </w:t>
      </w:r>
      <w:r w:rsidR="00EB4056">
        <w:t>Local leaders build communities of skills-sharing around the training, enabling users to teach each other how to utilize the services.</w:t>
      </w:r>
    </w:p>
    <w:p w14:paraId="2E302069" w14:textId="0A774F9F" w:rsidR="00F21DD3" w:rsidRDefault="00F64CD8" w:rsidP="00C64AA3">
      <w:pPr>
        <w:spacing w:after="120"/>
        <w:jc w:val="both"/>
      </w:pPr>
      <w:r w:rsidRPr="00F64CD8">
        <w:rPr>
          <w:b/>
        </w:rPr>
        <w:t>Accenting for timing and planning cycles</w:t>
      </w:r>
      <w:r w:rsidR="001E3720">
        <w:rPr>
          <w:b/>
        </w:rPr>
        <w:t xml:space="preserve"> is necessary</w:t>
      </w:r>
      <w:r w:rsidRPr="00F64CD8">
        <w:rPr>
          <w:b/>
        </w:rPr>
        <w:t xml:space="preserve"> –</w:t>
      </w:r>
      <w:r>
        <w:t xml:space="preserve"> </w:t>
      </w:r>
      <w:r w:rsidR="00E65187">
        <w:t>Planning time is crucial</w:t>
      </w:r>
      <w:r w:rsidR="00525652">
        <w:t xml:space="preserve">. Initiatives are most effective when matched to the time cycles of the governmental agencies </w:t>
      </w:r>
      <w:r w:rsidR="00602AF5">
        <w:t>that</w:t>
      </w:r>
      <w:r w:rsidR="00525652">
        <w:t xml:space="preserve"> are dictating budgets and funding allocations, even though </w:t>
      </w:r>
      <w:proofErr w:type="gramStart"/>
      <w:r w:rsidR="00525652">
        <w:t>ideally</w:t>
      </w:r>
      <w:proofErr w:type="gramEnd"/>
      <w:r w:rsidR="00525652">
        <w:t xml:space="preserve"> they would be able to plan with a larger vision.</w:t>
      </w:r>
    </w:p>
    <w:p w14:paraId="67086C39" w14:textId="3477B58F" w:rsidR="00C32462" w:rsidRPr="00064898" w:rsidRDefault="00C32462" w:rsidP="00C64AA3">
      <w:pPr>
        <w:pStyle w:val="Heading1"/>
        <w:numPr>
          <w:ilvl w:val="0"/>
          <w:numId w:val="0"/>
        </w:numPr>
        <w:spacing w:after="120" w:line="240" w:lineRule="auto"/>
        <w:jc w:val="both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Sources</w:t>
      </w:r>
    </w:p>
    <w:p w14:paraId="41252823" w14:textId="73B68675" w:rsidR="00C77A08" w:rsidRDefault="00C77A08" w:rsidP="00E92349">
      <w:pPr>
        <w:spacing w:after="120"/>
        <w:contextualSpacing/>
      </w:pPr>
      <w:r w:rsidRPr="00C77A08">
        <w:t>Martinez Coral</w:t>
      </w:r>
      <w:r>
        <w:t>, P. (2017, August 17) Personal Interview</w:t>
      </w:r>
    </w:p>
    <w:p w14:paraId="0692C799" w14:textId="5A13B575" w:rsidR="00C32462" w:rsidRPr="00E92349" w:rsidRDefault="00C32462" w:rsidP="00E92349">
      <w:pPr>
        <w:spacing w:after="120"/>
        <w:contextualSpacing/>
        <w:rPr>
          <w:rFonts w:ascii="Times" w:hAnsi="Times"/>
        </w:rPr>
      </w:pPr>
      <w:r w:rsidRPr="00F64CD8">
        <w:t xml:space="preserve">Project </w:t>
      </w:r>
      <w:r w:rsidR="00602AF5" w:rsidRPr="00F64CD8">
        <w:rPr>
          <w:rFonts w:ascii="Times" w:hAnsi="Times"/>
        </w:rPr>
        <w:t>w</w:t>
      </w:r>
      <w:r w:rsidRPr="00F64CD8">
        <w:rPr>
          <w:rFonts w:ascii="Times" w:hAnsi="Times"/>
        </w:rPr>
        <w:t>ebsite:</w:t>
      </w:r>
      <w:r w:rsidR="00F64CD8">
        <w:rPr>
          <w:rFonts w:ascii="Times" w:hAnsi="Times"/>
        </w:rPr>
        <w:t xml:space="preserve"> </w:t>
      </w:r>
      <w:hyperlink r:id="rId9" w:tgtFrame="_blank" w:history="1">
        <w:r w:rsidRPr="00F64CD8">
          <w:rPr>
            <w:rStyle w:val="Hyperlink"/>
            <w:rFonts w:ascii="Times" w:hAnsi="Times" w:cs="Arial"/>
            <w:u w:val="none"/>
          </w:rPr>
          <w:t>http://www.mintic.gov.co/portal/vivedigital/612/w3-propertyvalue-7059.html</w:t>
        </w:r>
      </w:hyperlink>
    </w:p>
    <w:sectPr w:rsidR="00C32462" w:rsidRPr="00E92349" w:rsidSect="007230D2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FF157" w14:textId="77777777" w:rsidR="00535064" w:rsidRDefault="00535064" w:rsidP="00D733CF">
      <w:r>
        <w:separator/>
      </w:r>
    </w:p>
  </w:endnote>
  <w:endnote w:type="continuationSeparator" w:id="0">
    <w:p w14:paraId="3B5534C3" w14:textId="77777777" w:rsidR="00535064" w:rsidRDefault="00535064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5402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2D20FA" w14:textId="50D54034" w:rsidR="00E92349" w:rsidRDefault="00E92349" w:rsidP="00A372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BBDFEE" w14:textId="77777777" w:rsidR="00E92349" w:rsidRDefault="00E92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</w:rPr>
      <w:id w:val="-628859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B9FE49" w14:textId="23912A54" w:rsidR="00E92349" w:rsidRPr="00E92349" w:rsidRDefault="00E92349" w:rsidP="002C4C40">
        <w:pPr>
          <w:pStyle w:val="Footer"/>
          <w:framePr w:wrap="none" w:vAnchor="text" w:hAnchor="margin" w:xAlign="center" w:y="1"/>
          <w:spacing w:after="0" w:line="240" w:lineRule="auto"/>
          <w:mirrorIndents/>
          <w:rPr>
            <w:rStyle w:val="PageNumber"/>
            <w:rFonts w:ascii="Times New Roman" w:hAnsi="Times New Roman" w:cs="Times New Roman"/>
            <w:sz w:val="24"/>
          </w:rPr>
        </w:pPr>
        <w:r w:rsidRPr="00E92349">
          <w:rPr>
            <w:rStyle w:val="PageNumber"/>
            <w:rFonts w:ascii="Times New Roman" w:hAnsi="Times New Roman" w:cs="Times New Roman"/>
            <w:sz w:val="24"/>
          </w:rPr>
          <w:fldChar w:fldCharType="begin"/>
        </w:r>
        <w:r w:rsidRPr="00E92349">
          <w:rPr>
            <w:rStyle w:val="PageNumber"/>
            <w:rFonts w:ascii="Times New Roman" w:hAnsi="Times New Roman" w:cs="Times New Roman"/>
            <w:sz w:val="24"/>
          </w:rPr>
          <w:instrText xml:space="preserve"> PAGE </w:instrText>
        </w:r>
        <w:r w:rsidRPr="00E92349">
          <w:rPr>
            <w:rStyle w:val="PageNumber"/>
            <w:rFonts w:ascii="Times New Roman" w:hAnsi="Times New Roman" w:cs="Times New Roman"/>
            <w:sz w:val="24"/>
          </w:rPr>
          <w:fldChar w:fldCharType="separate"/>
        </w:r>
        <w:r w:rsidRPr="00E92349">
          <w:rPr>
            <w:rStyle w:val="PageNumber"/>
            <w:rFonts w:ascii="Times New Roman" w:hAnsi="Times New Roman" w:cs="Times New Roman"/>
            <w:noProof/>
            <w:sz w:val="24"/>
          </w:rPr>
          <w:t>2</w:t>
        </w:r>
        <w:r w:rsidRPr="00E92349">
          <w:rPr>
            <w:rStyle w:val="PageNumber"/>
            <w:rFonts w:ascii="Times New Roman" w:hAnsi="Times New Roman" w:cs="Times New Roman"/>
            <w:sz w:val="24"/>
          </w:rPr>
          <w:fldChar w:fldCharType="end"/>
        </w:r>
      </w:p>
    </w:sdtContent>
  </w:sdt>
  <w:p w14:paraId="759E4C74" w14:textId="75E1FAD4" w:rsidR="00AB3210" w:rsidRPr="00E92349" w:rsidRDefault="00AB3210" w:rsidP="002C4C40">
    <w:pPr>
      <w:pStyle w:val="Footer"/>
      <w:spacing w:after="0" w:line="240" w:lineRule="auto"/>
      <w:ind w:hanging="1080"/>
      <w:mirrorIndents/>
      <w:jc w:val="center"/>
      <w:rPr>
        <w:rFonts w:ascii="Times New Roman" w:hAnsi="Times New Roman" w:cs="Times New Roman"/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0F0" w14:textId="6FE94F1C" w:rsidR="002C4C40" w:rsidRPr="002C4C40" w:rsidRDefault="002C4C40" w:rsidP="002C4C40">
    <w:pPr>
      <w:pStyle w:val="Footer"/>
      <w:spacing w:after="0" w:line="240" w:lineRule="auto"/>
      <w:jc w:val="center"/>
      <w:rPr>
        <w:rFonts w:ascii="Times New Roman" w:hAnsi="Times New Roman" w:cs="Times New Roman (Body CS)"/>
        <w:sz w:val="24"/>
      </w:rPr>
    </w:pPr>
    <w:r w:rsidRPr="002C4C40">
      <w:rPr>
        <w:rFonts w:ascii="Times New Roman" w:hAnsi="Times New Roman" w:cs="Times New Roman (Body CS)"/>
        <w:sz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CE3F2" w14:textId="77777777" w:rsidR="00535064" w:rsidRDefault="00535064" w:rsidP="00D733CF">
      <w:r>
        <w:separator/>
      </w:r>
    </w:p>
  </w:footnote>
  <w:footnote w:type="continuationSeparator" w:id="0">
    <w:p w14:paraId="652DD3B0" w14:textId="77777777" w:rsidR="00535064" w:rsidRDefault="00535064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1428C108" w:rsidR="00AB3210" w:rsidRDefault="00E92349" w:rsidP="00E92349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8201BB" wp14:editId="45F06FBD">
          <wp:simplePos x="0" y="0"/>
          <wp:positionH relativeFrom="margin">
            <wp:posOffset>-10795</wp:posOffset>
          </wp:positionH>
          <wp:positionV relativeFrom="paragraph">
            <wp:posOffset>635</wp:posOffset>
          </wp:positionV>
          <wp:extent cx="5744870" cy="1133856"/>
          <wp:effectExtent l="0" t="0" r="0" b="0"/>
          <wp:wrapTight wrapText="bothSides">
            <wp:wrapPolygon edited="0">
              <wp:start x="1576" y="0"/>
              <wp:lineTo x="1289" y="242"/>
              <wp:lineTo x="334" y="3388"/>
              <wp:lineTo x="0" y="7503"/>
              <wp:lineTo x="0" y="13069"/>
              <wp:lineTo x="96" y="15489"/>
              <wp:lineTo x="716" y="19361"/>
              <wp:lineTo x="764" y="19603"/>
              <wp:lineTo x="1480" y="21297"/>
              <wp:lineTo x="1576" y="21297"/>
              <wp:lineTo x="2674" y="21297"/>
              <wp:lineTo x="2770" y="21297"/>
              <wp:lineTo x="3486" y="19603"/>
              <wp:lineTo x="3486" y="19361"/>
              <wp:lineTo x="21536" y="17667"/>
              <wp:lineTo x="21536" y="4356"/>
              <wp:lineTo x="3963" y="3146"/>
              <wp:lineTo x="3056" y="484"/>
              <wp:lineTo x="2674" y="0"/>
              <wp:lineTo x="1576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4870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2C5FED"/>
    <w:multiLevelType w:val="hybridMultilevel"/>
    <w:tmpl w:val="BA54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B9"/>
    <w:rsid w:val="00010A6D"/>
    <w:rsid w:val="000127FF"/>
    <w:rsid w:val="0001373B"/>
    <w:rsid w:val="0001651A"/>
    <w:rsid w:val="00021183"/>
    <w:rsid w:val="000240AE"/>
    <w:rsid w:val="0002644C"/>
    <w:rsid w:val="00031581"/>
    <w:rsid w:val="00033ADB"/>
    <w:rsid w:val="00036756"/>
    <w:rsid w:val="00056561"/>
    <w:rsid w:val="00064898"/>
    <w:rsid w:val="0006512C"/>
    <w:rsid w:val="0006710C"/>
    <w:rsid w:val="000706B0"/>
    <w:rsid w:val="0008137B"/>
    <w:rsid w:val="000815B5"/>
    <w:rsid w:val="000949C8"/>
    <w:rsid w:val="000A5488"/>
    <w:rsid w:val="000A612A"/>
    <w:rsid w:val="000C0E53"/>
    <w:rsid w:val="000D6F63"/>
    <w:rsid w:val="000E1B74"/>
    <w:rsid w:val="000E7657"/>
    <w:rsid w:val="000F29C0"/>
    <w:rsid w:val="000F515E"/>
    <w:rsid w:val="00111E59"/>
    <w:rsid w:val="001141D0"/>
    <w:rsid w:val="001149DA"/>
    <w:rsid w:val="00117D2D"/>
    <w:rsid w:val="00121DC3"/>
    <w:rsid w:val="00122B9B"/>
    <w:rsid w:val="00124F2E"/>
    <w:rsid w:val="0013222C"/>
    <w:rsid w:val="00135372"/>
    <w:rsid w:val="001401C2"/>
    <w:rsid w:val="0014349A"/>
    <w:rsid w:val="00146CE6"/>
    <w:rsid w:val="00152D2C"/>
    <w:rsid w:val="001569B3"/>
    <w:rsid w:val="0016070C"/>
    <w:rsid w:val="00165E7B"/>
    <w:rsid w:val="0017356A"/>
    <w:rsid w:val="00174C3B"/>
    <w:rsid w:val="001764B9"/>
    <w:rsid w:val="00183D67"/>
    <w:rsid w:val="001847A4"/>
    <w:rsid w:val="0019395C"/>
    <w:rsid w:val="00196615"/>
    <w:rsid w:val="00196961"/>
    <w:rsid w:val="001A00CF"/>
    <w:rsid w:val="001A0F71"/>
    <w:rsid w:val="001A3573"/>
    <w:rsid w:val="001A3C8C"/>
    <w:rsid w:val="001A7F0F"/>
    <w:rsid w:val="001B532E"/>
    <w:rsid w:val="001B6BE6"/>
    <w:rsid w:val="001C74BF"/>
    <w:rsid w:val="001D155E"/>
    <w:rsid w:val="001D476E"/>
    <w:rsid w:val="001D6516"/>
    <w:rsid w:val="001E2C3C"/>
    <w:rsid w:val="001E3720"/>
    <w:rsid w:val="001F504E"/>
    <w:rsid w:val="00200872"/>
    <w:rsid w:val="002026AD"/>
    <w:rsid w:val="002035C5"/>
    <w:rsid w:val="00213EA3"/>
    <w:rsid w:val="00214971"/>
    <w:rsid w:val="00225828"/>
    <w:rsid w:val="00226389"/>
    <w:rsid w:val="0023085B"/>
    <w:rsid w:val="00233122"/>
    <w:rsid w:val="002429CF"/>
    <w:rsid w:val="00247152"/>
    <w:rsid w:val="00250578"/>
    <w:rsid w:val="002612C5"/>
    <w:rsid w:val="00263CC8"/>
    <w:rsid w:val="00273C3D"/>
    <w:rsid w:val="00283653"/>
    <w:rsid w:val="00284554"/>
    <w:rsid w:val="00286CB9"/>
    <w:rsid w:val="002916CE"/>
    <w:rsid w:val="002961A2"/>
    <w:rsid w:val="002A3503"/>
    <w:rsid w:val="002A5786"/>
    <w:rsid w:val="002B55D2"/>
    <w:rsid w:val="002C0B07"/>
    <w:rsid w:val="002C19BD"/>
    <w:rsid w:val="002C2727"/>
    <w:rsid w:val="002C3587"/>
    <w:rsid w:val="002C4C40"/>
    <w:rsid w:val="002C60F8"/>
    <w:rsid w:val="002C78A0"/>
    <w:rsid w:val="002D5221"/>
    <w:rsid w:val="002E1BE9"/>
    <w:rsid w:val="002E747C"/>
    <w:rsid w:val="002F1888"/>
    <w:rsid w:val="002F3B15"/>
    <w:rsid w:val="002F796B"/>
    <w:rsid w:val="003026B2"/>
    <w:rsid w:val="00302EDE"/>
    <w:rsid w:val="00304BA9"/>
    <w:rsid w:val="00305166"/>
    <w:rsid w:val="0031042E"/>
    <w:rsid w:val="00310508"/>
    <w:rsid w:val="0031289F"/>
    <w:rsid w:val="00325325"/>
    <w:rsid w:val="00325562"/>
    <w:rsid w:val="003311FE"/>
    <w:rsid w:val="00331392"/>
    <w:rsid w:val="00334747"/>
    <w:rsid w:val="00335AF0"/>
    <w:rsid w:val="00336E0D"/>
    <w:rsid w:val="00337D6F"/>
    <w:rsid w:val="0035074A"/>
    <w:rsid w:val="00354461"/>
    <w:rsid w:val="00354AFC"/>
    <w:rsid w:val="0036179C"/>
    <w:rsid w:val="003632E0"/>
    <w:rsid w:val="00366DF3"/>
    <w:rsid w:val="0037517E"/>
    <w:rsid w:val="003779DB"/>
    <w:rsid w:val="00393E4D"/>
    <w:rsid w:val="003A1019"/>
    <w:rsid w:val="003A2456"/>
    <w:rsid w:val="003A7469"/>
    <w:rsid w:val="003B687F"/>
    <w:rsid w:val="003C679D"/>
    <w:rsid w:val="003D19AD"/>
    <w:rsid w:val="003D203D"/>
    <w:rsid w:val="003F192A"/>
    <w:rsid w:val="003F5DB0"/>
    <w:rsid w:val="00400D62"/>
    <w:rsid w:val="004036C9"/>
    <w:rsid w:val="00421731"/>
    <w:rsid w:val="00421FD7"/>
    <w:rsid w:val="00423189"/>
    <w:rsid w:val="00445FFA"/>
    <w:rsid w:val="004545A8"/>
    <w:rsid w:val="00456E37"/>
    <w:rsid w:val="00456F32"/>
    <w:rsid w:val="00460B32"/>
    <w:rsid w:val="00460CCC"/>
    <w:rsid w:val="00464C84"/>
    <w:rsid w:val="00471412"/>
    <w:rsid w:val="00474DDB"/>
    <w:rsid w:val="00475BD0"/>
    <w:rsid w:val="00481F58"/>
    <w:rsid w:val="00496C86"/>
    <w:rsid w:val="004A1BD9"/>
    <w:rsid w:val="004A2A83"/>
    <w:rsid w:val="004A77E6"/>
    <w:rsid w:val="004A7D76"/>
    <w:rsid w:val="004B1DC5"/>
    <w:rsid w:val="004B725E"/>
    <w:rsid w:val="004C4A6B"/>
    <w:rsid w:val="004D3DDE"/>
    <w:rsid w:val="004E5D52"/>
    <w:rsid w:val="004E797E"/>
    <w:rsid w:val="004F48E1"/>
    <w:rsid w:val="005116FF"/>
    <w:rsid w:val="00515373"/>
    <w:rsid w:val="00516078"/>
    <w:rsid w:val="0052368C"/>
    <w:rsid w:val="00525652"/>
    <w:rsid w:val="0053150C"/>
    <w:rsid w:val="005316CD"/>
    <w:rsid w:val="00535064"/>
    <w:rsid w:val="00551F16"/>
    <w:rsid w:val="005543B3"/>
    <w:rsid w:val="00566496"/>
    <w:rsid w:val="0057065C"/>
    <w:rsid w:val="00582BC9"/>
    <w:rsid w:val="005A3AEF"/>
    <w:rsid w:val="005B397F"/>
    <w:rsid w:val="005B4B3A"/>
    <w:rsid w:val="005C07CA"/>
    <w:rsid w:val="005C2997"/>
    <w:rsid w:val="005D023D"/>
    <w:rsid w:val="005D11D8"/>
    <w:rsid w:val="005D530D"/>
    <w:rsid w:val="005E2580"/>
    <w:rsid w:val="00601BC1"/>
    <w:rsid w:val="00602AF5"/>
    <w:rsid w:val="00607A2E"/>
    <w:rsid w:val="00613FBA"/>
    <w:rsid w:val="0061646D"/>
    <w:rsid w:val="00622AF9"/>
    <w:rsid w:val="00623C09"/>
    <w:rsid w:val="0063000A"/>
    <w:rsid w:val="006302C0"/>
    <w:rsid w:val="00646209"/>
    <w:rsid w:val="00647FBD"/>
    <w:rsid w:val="00656586"/>
    <w:rsid w:val="00661004"/>
    <w:rsid w:val="006645E9"/>
    <w:rsid w:val="006664E5"/>
    <w:rsid w:val="00672730"/>
    <w:rsid w:val="00672865"/>
    <w:rsid w:val="006806B4"/>
    <w:rsid w:val="00684564"/>
    <w:rsid w:val="00692C66"/>
    <w:rsid w:val="006A0E73"/>
    <w:rsid w:val="006A1D58"/>
    <w:rsid w:val="006B5121"/>
    <w:rsid w:val="006B6222"/>
    <w:rsid w:val="006C2913"/>
    <w:rsid w:val="006C5426"/>
    <w:rsid w:val="006D14DB"/>
    <w:rsid w:val="006E2904"/>
    <w:rsid w:val="006E3BAB"/>
    <w:rsid w:val="006E694E"/>
    <w:rsid w:val="006E7801"/>
    <w:rsid w:val="006F106B"/>
    <w:rsid w:val="006F3D92"/>
    <w:rsid w:val="006F5AC6"/>
    <w:rsid w:val="006F77D1"/>
    <w:rsid w:val="00700890"/>
    <w:rsid w:val="00706851"/>
    <w:rsid w:val="0071155C"/>
    <w:rsid w:val="0072295A"/>
    <w:rsid w:val="007230D2"/>
    <w:rsid w:val="007301F2"/>
    <w:rsid w:val="0073050C"/>
    <w:rsid w:val="007333E3"/>
    <w:rsid w:val="00740ABD"/>
    <w:rsid w:val="00747AE2"/>
    <w:rsid w:val="007579DE"/>
    <w:rsid w:val="007701E0"/>
    <w:rsid w:val="00796E05"/>
    <w:rsid w:val="007A4AD5"/>
    <w:rsid w:val="007B737C"/>
    <w:rsid w:val="007D249C"/>
    <w:rsid w:val="007F1DAE"/>
    <w:rsid w:val="0080684D"/>
    <w:rsid w:val="00812508"/>
    <w:rsid w:val="0081633A"/>
    <w:rsid w:val="00827452"/>
    <w:rsid w:val="00827BD3"/>
    <w:rsid w:val="008300A2"/>
    <w:rsid w:val="0083193F"/>
    <w:rsid w:val="00832530"/>
    <w:rsid w:val="008507F7"/>
    <w:rsid w:val="0085614E"/>
    <w:rsid w:val="00861C2B"/>
    <w:rsid w:val="0086277C"/>
    <w:rsid w:val="00863C7B"/>
    <w:rsid w:val="00867DE6"/>
    <w:rsid w:val="008752B7"/>
    <w:rsid w:val="00891A90"/>
    <w:rsid w:val="008945A6"/>
    <w:rsid w:val="008B161C"/>
    <w:rsid w:val="008B2B48"/>
    <w:rsid w:val="008C30E1"/>
    <w:rsid w:val="008D613A"/>
    <w:rsid w:val="008D79B3"/>
    <w:rsid w:val="008E10AA"/>
    <w:rsid w:val="008E6525"/>
    <w:rsid w:val="008F3D13"/>
    <w:rsid w:val="008F452D"/>
    <w:rsid w:val="008F6A61"/>
    <w:rsid w:val="009061FF"/>
    <w:rsid w:val="009104BD"/>
    <w:rsid w:val="00914C1D"/>
    <w:rsid w:val="00915BE3"/>
    <w:rsid w:val="00916B3D"/>
    <w:rsid w:val="00916D4A"/>
    <w:rsid w:val="0092694F"/>
    <w:rsid w:val="00927A2A"/>
    <w:rsid w:val="00931A5B"/>
    <w:rsid w:val="00933A84"/>
    <w:rsid w:val="00933A8E"/>
    <w:rsid w:val="009401B2"/>
    <w:rsid w:val="00941E72"/>
    <w:rsid w:val="009526E0"/>
    <w:rsid w:val="00955352"/>
    <w:rsid w:val="00957999"/>
    <w:rsid w:val="00963208"/>
    <w:rsid w:val="009838E5"/>
    <w:rsid w:val="00985BA1"/>
    <w:rsid w:val="00994CF9"/>
    <w:rsid w:val="009A30EE"/>
    <w:rsid w:val="009A5A6E"/>
    <w:rsid w:val="009A6F2C"/>
    <w:rsid w:val="009B0081"/>
    <w:rsid w:val="009B0FA8"/>
    <w:rsid w:val="009C0FCD"/>
    <w:rsid w:val="009C3497"/>
    <w:rsid w:val="009D3639"/>
    <w:rsid w:val="00A023B8"/>
    <w:rsid w:val="00A0495D"/>
    <w:rsid w:val="00A128EB"/>
    <w:rsid w:val="00A13AA6"/>
    <w:rsid w:val="00A23F0C"/>
    <w:rsid w:val="00A24446"/>
    <w:rsid w:val="00A35CA2"/>
    <w:rsid w:val="00A422FC"/>
    <w:rsid w:val="00A42536"/>
    <w:rsid w:val="00A42B76"/>
    <w:rsid w:val="00A436E0"/>
    <w:rsid w:val="00A43B9F"/>
    <w:rsid w:val="00A460E5"/>
    <w:rsid w:val="00A51FF9"/>
    <w:rsid w:val="00A75008"/>
    <w:rsid w:val="00A7711E"/>
    <w:rsid w:val="00AA7D7E"/>
    <w:rsid w:val="00AB3210"/>
    <w:rsid w:val="00AC55D9"/>
    <w:rsid w:val="00AC65E0"/>
    <w:rsid w:val="00AD1841"/>
    <w:rsid w:val="00AE163F"/>
    <w:rsid w:val="00AE56A5"/>
    <w:rsid w:val="00AF2FB8"/>
    <w:rsid w:val="00AF6BF7"/>
    <w:rsid w:val="00AF7033"/>
    <w:rsid w:val="00B033D4"/>
    <w:rsid w:val="00B102CB"/>
    <w:rsid w:val="00B117A0"/>
    <w:rsid w:val="00B231F7"/>
    <w:rsid w:val="00B23899"/>
    <w:rsid w:val="00B26051"/>
    <w:rsid w:val="00B3007C"/>
    <w:rsid w:val="00B318EB"/>
    <w:rsid w:val="00B3269E"/>
    <w:rsid w:val="00B433DD"/>
    <w:rsid w:val="00B53BC7"/>
    <w:rsid w:val="00B66EF9"/>
    <w:rsid w:val="00B67A60"/>
    <w:rsid w:val="00B71B8A"/>
    <w:rsid w:val="00B75963"/>
    <w:rsid w:val="00B7789D"/>
    <w:rsid w:val="00B87191"/>
    <w:rsid w:val="00B941B9"/>
    <w:rsid w:val="00B975AA"/>
    <w:rsid w:val="00BC126C"/>
    <w:rsid w:val="00BC16F9"/>
    <w:rsid w:val="00BC58EA"/>
    <w:rsid w:val="00BE3C60"/>
    <w:rsid w:val="00BF0156"/>
    <w:rsid w:val="00BF18EB"/>
    <w:rsid w:val="00C03B55"/>
    <w:rsid w:val="00C05C42"/>
    <w:rsid w:val="00C0671D"/>
    <w:rsid w:val="00C06EE8"/>
    <w:rsid w:val="00C14333"/>
    <w:rsid w:val="00C20D53"/>
    <w:rsid w:val="00C32462"/>
    <w:rsid w:val="00C52618"/>
    <w:rsid w:val="00C53E68"/>
    <w:rsid w:val="00C5470C"/>
    <w:rsid w:val="00C56681"/>
    <w:rsid w:val="00C607FB"/>
    <w:rsid w:val="00C64AA3"/>
    <w:rsid w:val="00C6557A"/>
    <w:rsid w:val="00C75063"/>
    <w:rsid w:val="00C77A08"/>
    <w:rsid w:val="00C84E7E"/>
    <w:rsid w:val="00C96145"/>
    <w:rsid w:val="00CA1D89"/>
    <w:rsid w:val="00CA39C0"/>
    <w:rsid w:val="00CB0EA4"/>
    <w:rsid w:val="00CB3FD0"/>
    <w:rsid w:val="00CB480C"/>
    <w:rsid w:val="00CB5A4F"/>
    <w:rsid w:val="00CB76A3"/>
    <w:rsid w:val="00CC76A6"/>
    <w:rsid w:val="00CD1BE9"/>
    <w:rsid w:val="00CD24AB"/>
    <w:rsid w:val="00CD3350"/>
    <w:rsid w:val="00CE2193"/>
    <w:rsid w:val="00CE5E61"/>
    <w:rsid w:val="00D06B02"/>
    <w:rsid w:val="00D1491A"/>
    <w:rsid w:val="00D15B20"/>
    <w:rsid w:val="00D17138"/>
    <w:rsid w:val="00D30C5A"/>
    <w:rsid w:val="00D367DD"/>
    <w:rsid w:val="00D41524"/>
    <w:rsid w:val="00D43C49"/>
    <w:rsid w:val="00D53C90"/>
    <w:rsid w:val="00D620E7"/>
    <w:rsid w:val="00D63EB7"/>
    <w:rsid w:val="00D733CF"/>
    <w:rsid w:val="00D739B9"/>
    <w:rsid w:val="00D84E55"/>
    <w:rsid w:val="00D921A9"/>
    <w:rsid w:val="00DB0365"/>
    <w:rsid w:val="00DB7D50"/>
    <w:rsid w:val="00DD46B8"/>
    <w:rsid w:val="00DD7477"/>
    <w:rsid w:val="00DE2031"/>
    <w:rsid w:val="00DF1DE5"/>
    <w:rsid w:val="00DF7D73"/>
    <w:rsid w:val="00E12846"/>
    <w:rsid w:val="00E230DC"/>
    <w:rsid w:val="00E23C9F"/>
    <w:rsid w:val="00E307B4"/>
    <w:rsid w:val="00E336F4"/>
    <w:rsid w:val="00E42681"/>
    <w:rsid w:val="00E431D1"/>
    <w:rsid w:val="00E54A65"/>
    <w:rsid w:val="00E56BAA"/>
    <w:rsid w:val="00E620BB"/>
    <w:rsid w:val="00E65187"/>
    <w:rsid w:val="00E903AA"/>
    <w:rsid w:val="00E92349"/>
    <w:rsid w:val="00EA1814"/>
    <w:rsid w:val="00EA7B65"/>
    <w:rsid w:val="00EB4056"/>
    <w:rsid w:val="00EB6C22"/>
    <w:rsid w:val="00ED7051"/>
    <w:rsid w:val="00EE1E6E"/>
    <w:rsid w:val="00EE797B"/>
    <w:rsid w:val="00EF3E28"/>
    <w:rsid w:val="00EF6902"/>
    <w:rsid w:val="00EF6A90"/>
    <w:rsid w:val="00F0733E"/>
    <w:rsid w:val="00F21DD3"/>
    <w:rsid w:val="00F23AEB"/>
    <w:rsid w:val="00F402E8"/>
    <w:rsid w:val="00F43C78"/>
    <w:rsid w:val="00F514C3"/>
    <w:rsid w:val="00F52DAB"/>
    <w:rsid w:val="00F5769B"/>
    <w:rsid w:val="00F6004F"/>
    <w:rsid w:val="00F606F0"/>
    <w:rsid w:val="00F630C2"/>
    <w:rsid w:val="00F6412C"/>
    <w:rsid w:val="00F64AB1"/>
    <w:rsid w:val="00F64B4B"/>
    <w:rsid w:val="00F64CD8"/>
    <w:rsid w:val="00F66F6F"/>
    <w:rsid w:val="00F756E8"/>
    <w:rsid w:val="00F77933"/>
    <w:rsid w:val="00F81EF6"/>
    <w:rsid w:val="00F822EA"/>
    <w:rsid w:val="00F9780F"/>
    <w:rsid w:val="00FA0094"/>
    <w:rsid w:val="00FA13DD"/>
    <w:rsid w:val="00FA1B0D"/>
    <w:rsid w:val="00FA32B1"/>
    <w:rsid w:val="00FA737C"/>
    <w:rsid w:val="00FC6D42"/>
    <w:rsid w:val="00FD4CA1"/>
    <w:rsid w:val="00FD53D8"/>
    <w:rsid w:val="00FD5725"/>
    <w:rsid w:val="00FD6DED"/>
    <w:rsid w:val="00FE1588"/>
    <w:rsid w:val="00FE445A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73CC77A3-D1F3-FD49-B1E0-9C74BEC4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57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37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373"/>
    <w:pPr>
      <w:keepNext/>
      <w:keepLines/>
      <w:numPr>
        <w:ilvl w:val="1"/>
        <w:numId w:val="1"/>
      </w:numPr>
      <w:spacing w:before="360" w:after="1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 w:after="16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 w:after="16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 w:after="16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 w:after="16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 w:after="16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 w:after="16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 w:after="16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spacing w:after="160" w:line="259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C679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E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1DE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33A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A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A8E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A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A8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intic.gov.co/portal/vivedigital/612/w3-propertyvalue-7059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59F7A-63E8-5A4A-9372-DC810681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5</cp:revision>
  <cp:lastPrinted>2016-10-19T17:29:00Z</cp:lastPrinted>
  <dcterms:created xsi:type="dcterms:W3CDTF">2018-02-01T12:38:00Z</dcterms:created>
  <dcterms:modified xsi:type="dcterms:W3CDTF">2018-02-02T21:48:00Z</dcterms:modified>
</cp:coreProperties>
</file>