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A1FC" w14:textId="04D88BB3" w:rsidR="006F4C3F" w:rsidRPr="00A76399" w:rsidRDefault="00044162" w:rsidP="00AB72D9">
      <w:pPr>
        <w:pStyle w:val="Title"/>
      </w:pPr>
      <w:r w:rsidRPr="00A76399">
        <w:t>BALSAPUERTO NETWORK</w:t>
      </w:r>
    </w:p>
    <w:p w14:paraId="64CA15A0" w14:textId="2C6BFE87" w:rsidR="000B625F" w:rsidRPr="00A76399" w:rsidRDefault="0001373B" w:rsidP="00EB5CC2">
      <w:pPr>
        <w:pStyle w:val="Subtitle"/>
        <w:contextualSpacing/>
      </w:pPr>
      <w:r w:rsidRPr="00A76399">
        <w:t xml:space="preserve">CONNECTING </w:t>
      </w:r>
      <w:r w:rsidR="004046F7" w:rsidRPr="00A76399">
        <w:t>RURAL COMMUNITIES</w:t>
      </w:r>
      <w:r w:rsidR="000B625F" w:rsidRPr="00A76399">
        <w:t xml:space="preserve"> WITH Wi-Fi LONG DISTANCE NETWORKING (WiLDNet)</w:t>
      </w:r>
    </w:p>
    <w:p w14:paraId="6EDF4F4A" w14:textId="37AC8B12" w:rsidR="00700894" w:rsidRPr="00A76399" w:rsidRDefault="004046F7" w:rsidP="00EB5CC2">
      <w:pPr>
        <w:pStyle w:val="Subtitle"/>
        <w:contextualSpacing/>
      </w:pPr>
      <w:r w:rsidRPr="00A76399">
        <w:t xml:space="preserve">IN </w:t>
      </w:r>
      <w:r w:rsidR="0019020D" w:rsidRPr="00A76399">
        <w:t>THE AMAZON RAINFOREST</w:t>
      </w:r>
      <w:r w:rsidR="005C2997" w:rsidRPr="00A76399">
        <w:t xml:space="preserve"> </w:t>
      </w:r>
    </w:p>
    <w:p w14:paraId="194DF080" w14:textId="5087B294" w:rsidR="00286CB9" w:rsidRPr="00A76399" w:rsidRDefault="00AF5425" w:rsidP="00EB5CC2">
      <w:pPr>
        <w:jc w:val="center"/>
        <w:rPr>
          <w:i/>
        </w:rPr>
      </w:pPr>
      <w:r w:rsidRPr="00A76399">
        <w:rPr>
          <w:noProof/>
          <w:sz w:val="36"/>
          <w:szCs w:val="36"/>
          <w:lang w:eastAsia="en-US"/>
        </w:rPr>
        <w:drawing>
          <wp:inline distT="0" distB="0" distL="0" distR="0" wp14:anchorId="302E81F1" wp14:editId="460EE0B2">
            <wp:extent cx="5722440" cy="2072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sapuerto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78" cy="20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010" w:rsidRPr="00A76399">
        <w:rPr>
          <w:i/>
        </w:rPr>
        <w:t>Areas connected by the Balsapuerto Network in</w:t>
      </w:r>
      <w:r w:rsidR="0037517E" w:rsidRPr="00A76399">
        <w:rPr>
          <w:i/>
        </w:rPr>
        <w:t xml:space="preserve"> South </w:t>
      </w:r>
      <w:r w:rsidR="00605A71" w:rsidRPr="00A76399">
        <w:rPr>
          <w:i/>
        </w:rPr>
        <w:t>America</w:t>
      </w:r>
      <w:r w:rsidR="006E694E" w:rsidRPr="00A76399">
        <w:rPr>
          <w:i/>
        </w:rPr>
        <w:t xml:space="preserve">. Photo </w:t>
      </w:r>
      <w:r w:rsidR="0031042E" w:rsidRPr="00A76399">
        <w:rPr>
          <w:i/>
        </w:rPr>
        <w:t>credit</w:t>
      </w:r>
      <w:r w:rsidR="00700894" w:rsidRPr="00A76399">
        <w:rPr>
          <w:i/>
        </w:rPr>
        <w:t>: TUCAN3G</w:t>
      </w:r>
    </w:p>
    <w:p w14:paraId="5E1020E3" w14:textId="77777777" w:rsidR="00286CB9" w:rsidRPr="00A76399" w:rsidRDefault="00286CB9" w:rsidP="00EB5CC2">
      <w:pPr>
        <w:pStyle w:val="Heading1"/>
        <w:rPr>
          <w:b/>
        </w:rPr>
      </w:pPr>
      <w:r w:rsidRPr="00A76399">
        <w:t xml:space="preserve">Executive Summary </w:t>
      </w:r>
    </w:p>
    <w:p w14:paraId="048D8D83" w14:textId="32344958" w:rsidR="00D726BA" w:rsidRPr="00A76399" w:rsidRDefault="008431C6" w:rsidP="00EB5CC2">
      <w:r w:rsidRPr="00A76399">
        <w:t>The Balsapuerto Network was constructed in 2012 in an effort to improve healthcare in the upper Amazon</w:t>
      </w:r>
      <w:r w:rsidR="00044162" w:rsidRPr="00A76399">
        <w:t xml:space="preserve"> through low-cost 3G wireless connectivity</w:t>
      </w:r>
      <w:r w:rsidR="007C35E9" w:rsidRPr="00A76399">
        <w:t>. Four healthcare centers in the district we</w:t>
      </w:r>
      <w:r w:rsidR="00415439" w:rsidRPr="00A76399">
        <w:t xml:space="preserve">re connected with 5.8 </w:t>
      </w:r>
      <w:r w:rsidR="00C60AF5" w:rsidRPr="00A76399">
        <w:t xml:space="preserve">gigahertz (GHz) </w:t>
      </w:r>
      <w:r w:rsidR="00415439" w:rsidRPr="00A76399">
        <w:t>point-to-</w:t>
      </w:r>
      <w:r w:rsidR="007C35E9" w:rsidRPr="00A76399">
        <w:t>point links: Balsapuerto, Varad</w:t>
      </w:r>
      <w:r w:rsidR="00B24D06" w:rsidRPr="00A76399">
        <w:t xml:space="preserve">ero, San Juan, and Yurimaguas. Led </w:t>
      </w:r>
      <w:r w:rsidR="00044162" w:rsidRPr="00A76399">
        <w:t>by Professors</w:t>
      </w:r>
      <w:r w:rsidR="00415439" w:rsidRPr="00A76399">
        <w:t xml:space="preserve"> Alan Mickelson from </w:t>
      </w:r>
      <w:r w:rsidR="00C60AF5" w:rsidRPr="00A76399">
        <w:t xml:space="preserve">the </w:t>
      </w:r>
      <w:r w:rsidR="007C35E9" w:rsidRPr="00A76399">
        <w:t>University of Colora</w:t>
      </w:r>
      <w:r w:rsidR="00C60AF5" w:rsidRPr="00A76399">
        <w:t xml:space="preserve">do </w:t>
      </w:r>
      <w:r w:rsidR="00415439" w:rsidRPr="00A76399">
        <w:t xml:space="preserve">Boulder and Martin Murillo from </w:t>
      </w:r>
      <w:r w:rsidR="007C35E9" w:rsidRPr="00A76399">
        <w:t>Notre Dame</w:t>
      </w:r>
      <w:r w:rsidR="00415439" w:rsidRPr="00A76399">
        <w:t xml:space="preserve"> University</w:t>
      </w:r>
      <w:r w:rsidR="007C35E9" w:rsidRPr="00A76399">
        <w:t xml:space="preserve">, the initiative yielded successful results and experiences related to </w:t>
      </w:r>
      <w:r w:rsidR="00463909" w:rsidRPr="00A76399">
        <w:t xml:space="preserve">specific issues of </w:t>
      </w:r>
      <w:r w:rsidR="007C35E9" w:rsidRPr="00A76399">
        <w:t>infrastru</w:t>
      </w:r>
      <w:r w:rsidR="00463909" w:rsidRPr="00A76399">
        <w:t xml:space="preserve">cture, technology, and </w:t>
      </w:r>
      <w:r w:rsidR="007C35E9" w:rsidRPr="00A76399">
        <w:t>implement</w:t>
      </w:r>
      <w:r w:rsidR="00657F91" w:rsidRPr="00A76399">
        <w:t>ation in remote jungle regions. T</w:t>
      </w:r>
      <w:r w:rsidR="007C35E9" w:rsidRPr="00A76399">
        <w:t xml:space="preserve">oo-late attention to network sustainability stymied the </w:t>
      </w:r>
      <w:r w:rsidR="00657F91" w:rsidRPr="00A76399">
        <w:t>project’s potential, however.</w:t>
      </w:r>
    </w:p>
    <w:p w14:paraId="57FA3389" w14:textId="77777777" w:rsidR="00090FD0" w:rsidRPr="00A76399" w:rsidRDefault="00090FD0" w:rsidP="00EB5CC2">
      <w:pPr>
        <w:rPr>
          <w:rFonts w:eastAsia="Times New Roman" w:cs="Times New Roman"/>
          <w:szCs w:val="24"/>
        </w:rPr>
      </w:pPr>
    </w:p>
    <w:p w14:paraId="51CB0214" w14:textId="0771D891" w:rsidR="00415439" w:rsidRPr="00A76399" w:rsidRDefault="00415439" w:rsidP="00EB5CC2">
      <w:pPr>
        <w:rPr>
          <w:rFonts w:eastAsia="Times New Roman" w:cs="Times New Roman"/>
          <w:i/>
          <w:szCs w:val="24"/>
        </w:rPr>
      </w:pPr>
      <w:r w:rsidRPr="00A76399">
        <w:rPr>
          <w:rFonts w:eastAsia="Times New Roman" w:cs="Times New Roman"/>
          <w:i/>
          <w:szCs w:val="24"/>
        </w:rPr>
        <w:t>Keywords: WiLDNet, deployment, telemedicine, Amazon</w:t>
      </w:r>
      <w:r w:rsidR="00657F91" w:rsidRPr="00A76399">
        <w:rPr>
          <w:rFonts w:eastAsia="Times New Roman" w:cs="Times New Roman"/>
          <w:i/>
          <w:szCs w:val="24"/>
        </w:rPr>
        <w:t>, Peru</w:t>
      </w:r>
    </w:p>
    <w:p w14:paraId="11FA8C68" w14:textId="66EC2555" w:rsidR="00286CB9" w:rsidRPr="00A76399" w:rsidRDefault="00D726BA" w:rsidP="00EB5CC2">
      <w:pPr>
        <w:pStyle w:val="Heading1"/>
        <w:rPr>
          <w:b/>
        </w:rPr>
      </w:pPr>
      <w:r w:rsidRPr="00A76399">
        <w:rPr>
          <w:b/>
        </w:rPr>
        <w:br w:type="page"/>
      </w:r>
      <w:r w:rsidR="00286CB9" w:rsidRPr="00A76399">
        <w:lastRenderedPageBreak/>
        <w:t>Context</w:t>
      </w:r>
    </w:p>
    <w:p w14:paraId="1FC89B7B" w14:textId="462A192E" w:rsidR="00707AB2" w:rsidRPr="00A76399" w:rsidRDefault="00657F91" w:rsidP="00EB5CC2">
      <w:r w:rsidRPr="00A76399">
        <w:t xml:space="preserve">Balsapuerto </w:t>
      </w:r>
      <w:r w:rsidR="00707AB2" w:rsidRPr="00A76399">
        <w:t>is located in the heart of Amazonian Peru and is one of the poorest regions in the world</w:t>
      </w:r>
      <w:r w:rsidR="00044162" w:rsidRPr="00A76399">
        <w:t xml:space="preserve">. </w:t>
      </w:r>
      <w:r w:rsidR="005C022D" w:rsidRPr="00A76399">
        <w:t>Balsapuerto is the poorest district of the poorest Peruvian province</w:t>
      </w:r>
      <w:r w:rsidR="00707AB2" w:rsidRPr="00A76399">
        <w:t xml:space="preserve">. The dense Amazon rainforest </w:t>
      </w:r>
      <w:r w:rsidR="00E17187" w:rsidRPr="00A76399">
        <w:t>makes it very difficult to build</w:t>
      </w:r>
      <w:r w:rsidR="00707AB2" w:rsidRPr="00A76399">
        <w:t xml:space="preserve"> infrastructure</w:t>
      </w:r>
      <w:r w:rsidR="00E17187" w:rsidRPr="00A76399">
        <w:t xml:space="preserve">, including roads. As a result, </w:t>
      </w:r>
      <w:r w:rsidR="00707AB2" w:rsidRPr="00A76399">
        <w:t>the village is reachable only by boat from nearby Yurimaguas, which is t</w:t>
      </w:r>
      <w:r w:rsidR="00E17187" w:rsidRPr="00A76399">
        <w:t>he nearest town with a hospital as well as telephone</w:t>
      </w:r>
      <w:r w:rsidR="00707AB2" w:rsidRPr="00A76399">
        <w:t xml:space="preserve"> and </w:t>
      </w:r>
      <w:r w:rsidR="00E17187" w:rsidRPr="00A76399">
        <w:t>Internet</w:t>
      </w:r>
      <w:r w:rsidR="00707AB2" w:rsidRPr="00A76399">
        <w:t xml:space="preserve"> service. </w:t>
      </w:r>
      <w:r w:rsidR="00E17187" w:rsidRPr="00A76399">
        <w:t>Due to</w:t>
      </w:r>
      <w:r w:rsidR="00707AB2" w:rsidRPr="00A76399">
        <w:t xml:space="preserve"> its extreme isolation and low population density (less than</w:t>
      </w:r>
      <w:r w:rsidR="00D67FE9" w:rsidRPr="00A76399">
        <w:t xml:space="preserve"> 10 people per square kilometer), major telecom operators do not serve the area</w:t>
      </w:r>
      <w:r w:rsidR="00707AB2" w:rsidRPr="00A76399">
        <w:t>.</w:t>
      </w:r>
      <w:r w:rsidR="00D67FE9" w:rsidRPr="00A76399">
        <w:t xml:space="preserve"> As a country, Peru lags behind, both regionally and globally, </w:t>
      </w:r>
      <w:r w:rsidR="00707AB2" w:rsidRPr="00A76399">
        <w:t>when it comes to fixed broadband subscrip</w:t>
      </w:r>
      <w:r w:rsidR="00D67FE9" w:rsidRPr="00A76399">
        <w:t>tions and mobile subscriptions. In recent years</w:t>
      </w:r>
      <w:r w:rsidR="00707AB2" w:rsidRPr="00A76399">
        <w:t xml:space="preserve">, </w:t>
      </w:r>
      <w:r w:rsidR="00D67FE9" w:rsidRPr="00A76399">
        <w:t xml:space="preserve">however, </w:t>
      </w:r>
      <w:r w:rsidR="00707AB2" w:rsidRPr="00A76399">
        <w:t>th</w:t>
      </w:r>
      <w:r w:rsidR="00D67FE9" w:rsidRPr="00A76399">
        <w:t>e country has boasted the fifth-</w:t>
      </w:r>
      <w:r w:rsidR="00707AB2" w:rsidRPr="00A76399">
        <w:t xml:space="preserve">fastest </w:t>
      </w:r>
      <w:r w:rsidR="00D67FE9" w:rsidRPr="00A76399">
        <w:t xml:space="preserve">Internet user growth worldwide – </w:t>
      </w:r>
      <w:r w:rsidR="00707AB2" w:rsidRPr="00A76399">
        <w:t>only behind India, the Philippine</w:t>
      </w:r>
      <w:r w:rsidR="00D67FE9" w:rsidRPr="00A76399">
        <w:t>s, Indonesia, and South Africa, according to eMarketer</w:t>
      </w:r>
      <w:r w:rsidR="009709E1" w:rsidRPr="00A76399">
        <w:t>.</w:t>
      </w:r>
    </w:p>
    <w:p w14:paraId="68FADBB9" w14:textId="1208E751" w:rsidR="00C45A7B" w:rsidRPr="00A76399" w:rsidRDefault="00707AB2" w:rsidP="00EB5CC2">
      <w:r w:rsidRPr="00A76399">
        <w:t xml:space="preserve">In 2011, the Peruvian government implemented a National Broadband </w:t>
      </w:r>
      <w:r w:rsidR="009709E1" w:rsidRPr="00A76399">
        <w:t>Plan that</w:t>
      </w:r>
      <w:r w:rsidRPr="00A76399">
        <w:t xml:space="preserve"> aims to provide </w:t>
      </w:r>
      <w:r w:rsidR="009709E1" w:rsidRPr="00A76399">
        <w:t>Internet</w:t>
      </w:r>
      <w:r w:rsidRPr="00A76399">
        <w:t xml:space="preserve"> connectivity to remote regions of Peru. The plan includes </w:t>
      </w:r>
      <w:r w:rsidR="009709E1" w:rsidRPr="00A76399">
        <w:t xml:space="preserve">the </w:t>
      </w:r>
      <w:r w:rsidRPr="00A76399">
        <w:t xml:space="preserve">construction of a national </w:t>
      </w:r>
      <w:r w:rsidR="009709E1" w:rsidRPr="00A76399">
        <w:t>fiber</w:t>
      </w:r>
      <w:r w:rsidRPr="00A76399">
        <w:t xml:space="preserve"> optic backbone </w:t>
      </w:r>
      <w:r w:rsidR="009709E1" w:rsidRPr="00A76399">
        <w:t xml:space="preserve">network </w:t>
      </w:r>
      <w:r w:rsidRPr="00A76399">
        <w:t xml:space="preserve">as well as connecting all municipalities </w:t>
      </w:r>
      <w:r w:rsidR="009709E1" w:rsidRPr="00A76399">
        <w:t>and</w:t>
      </w:r>
      <w:r w:rsidRPr="00A76399">
        <w:t xml:space="preserve"> </w:t>
      </w:r>
      <w:r w:rsidR="009709E1" w:rsidRPr="00A76399">
        <w:t>health and education centers</w:t>
      </w:r>
      <w:r w:rsidRPr="00A76399">
        <w:t xml:space="preserve"> in rural zones. </w:t>
      </w:r>
      <w:r w:rsidR="009709E1" w:rsidRPr="00A76399">
        <w:t>E</w:t>
      </w:r>
      <w:r w:rsidRPr="00A76399">
        <w:t>ven with this plan and the government’s telecommunic</w:t>
      </w:r>
      <w:r w:rsidR="00E96CB1" w:rsidRPr="00A76399">
        <w:t xml:space="preserve">ations investment fund (FITEL), </w:t>
      </w:r>
      <w:r w:rsidRPr="00A76399">
        <w:t>which promot</w:t>
      </w:r>
      <w:r w:rsidR="00E96CB1" w:rsidRPr="00A76399">
        <w:t xml:space="preserve">es service in isolated regions, however, </w:t>
      </w:r>
      <w:r w:rsidRPr="00A76399">
        <w:t xml:space="preserve">barriers </w:t>
      </w:r>
      <w:r w:rsidR="00E96CB1" w:rsidRPr="00A76399">
        <w:t>such as</w:t>
      </w:r>
      <w:r w:rsidRPr="00A76399">
        <w:t xml:space="preserve"> extensive poverty and economic inequality, expensive service, little competition</w:t>
      </w:r>
      <w:r w:rsidR="00E96CB1" w:rsidRPr="00A76399">
        <w:t>,</w:t>
      </w:r>
      <w:r w:rsidRPr="00A76399">
        <w:t xml:space="preserve"> and a harsh landscape of mountains and jungles has resulted in slow, expensive, and inaccessible broadband </w:t>
      </w:r>
      <w:r w:rsidR="00E96CB1" w:rsidRPr="00A76399">
        <w:t>Internet</w:t>
      </w:r>
      <w:r w:rsidRPr="00A76399">
        <w:t xml:space="preserve"> access. </w:t>
      </w:r>
    </w:p>
    <w:p w14:paraId="020D522B" w14:textId="77777777" w:rsidR="003326D5" w:rsidRPr="00A76399" w:rsidRDefault="003326D5" w:rsidP="00EB5CC2"/>
    <w:tbl>
      <w:tblPr>
        <w:tblStyle w:val="TableGrid"/>
        <w:tblW w:w="0" w:type="auto"/>
        <w:tblInd w:w="-5" w:type="dxa"/>
        <w:tblCellMar>
          <w:top w:w="100" w:type="dxa"/>
          <w:left w:w="115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904"/>
        <w:gridCol w:w="1636"/>
        <w:gridCol w:w="3025"/>
        <w:gridCol w:w="1450"/>
      </w:tblGrid>
      <w:tr w:rsidR="00A76399" w:rsidRPr="00A76399" w14:paraId="1A9BEFDD" w14:textId="77777777" w:rsidTr="003326D5">
        <w:trPr>
          <w:trHeight w:val="20"/>
        </w:trPr>
        <w:tc>
          <w:tcPr>
            <w:tcW w:w="9015" w:type="dxa"/>
            <w:gridSpan w:val="4"/>
            <w:vAlign w:val="center"/>
          </w:tcPr>
          <w:p w14:paraId="68DA5280" w14:textId="42CD6C75" w:rsidR="00707AB2" w:rsidRPr="00A76399" w:rsidRDefault="00707AB2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  <w:lang w:eastAsia="en-US"/>
              </w:rPr>
            </w:pPr>
            <w:r w:rsidRPr="00A76399">
              <w:rPr>
                <w:rFonts w:cs="Times New Roman"/>
                <w:b/>
                <w:szCs w:val="24"/>
                <w:lang w:eastAsia="en-US"/>
              </w:rPr>
              <w:t>Peru</w:t>
            </w:r>
          </w:p>
        </w:tc>
      </w:tr>
      <w:tr w:rsidR="00A76399" w:rsidRPr="00A76399" w14:paraId="57E0F693" w14:textId="77777777" w:rsidTr="003326D5">
        <w:trPr>
          <w:trHeight w:val="20"/>
        </w:trPr>
        <w:tc>
          <w:tcPr>
            <w:tcW w:w="2904" w:type="dxa"/>
            <w:vAlign w:val="center"/>
          </w:tcPr>
          <w:p w14:paraId="55CF52FC" w14:textId="77777777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Population</w:t>
            </w:r>
          </w:p>
          <w:p w14:paraId="6B4DB252" w14:textId="0DAF794C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636" w:type="dxa"/>
            <w:vAlign w:val="center"/>
          </w:tcPr>
          <w:p w14:paraId="1EBEE71B" w14:textId="6F5613CF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31,161,167</w:t>
            </w:r>
          </w:p>
        </w:tc>
        <w:tc>
          <w:tcPr>
            <w:tcW w:w="3025" w:type="dxa"/>
            <w:vAlign w:val="center"/>
          </w:tcPr>
          <w:p w14:paraId="5E3A73BE" w14:textId="77777777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Fixed broadband subscriptions (%)</w:t>
            </w:r>
          </w:p>
          <w:p w14:paraId="1CB4BF44" w14:textId="037732E4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450" w:type="dxa"/>
            <w:vAlign w:val="center"/>
          </w:tcPr>
          <w:p w14:paraId="5D1A5FFB" w14:textId="1905CCD5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6.72</w:t>
            </w:r>
          </w:p>
        </w:tc>
      </w:tr>
      <w:tr w:rsidR="00A76399" w:rsidRPr="00A76399" w14:paraId="1EA01BEE" w14:textId="77777777" w:rsidTr="003326D5">
        <w:trPr>
          <w:trHeight w:val="20"/>
        </w:trPr>
        <w:tc>
          <w:tcPr>
            <w:tcW w:w="2904" w:type="dxa"/>
            <w:vAlign w:val="center"/>
          </w:tcPr>
          <w:p w14:paraId="297A00A8" w14:textId="65EAE258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A763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Population density</w:t>
            </w:r>
          </w:p>
          <w:p w14:paraId="197AAC7A" w14:textId="19A9FDCA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(people per sq.km)</w:t>
            </w:r>
          </w:p>
          <w:p w14:paraId="45E2429D" w14:textId="123778FF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636" w:type="dxa"/>
            <w:vAlign w:val="center"/>
          </w:tcPr>
          <w:p w14:paraId="14226478" w14:textId="263A7FC1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24.25</w:t>
            </w:r>
          </w:p>
        </w:tc>
        <w:tc>
          <w:tcPr>
            <w:tcW w:w="3025" w:type="dxa"/>
            <w:vAlign w:val="center"/>
          </w:tcPr>
          <w:p w14:paraId="79312BDF" w14:textId="77777777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Mobile cellular subscriptions (%)</w:t>
            </w:r>
          </w:p>
          <w:p w14:paraId="0675047F" w14:textId="6E6D08A3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450" w:type="dxa"/>
            <w:vAlign w:val="center"/>
          </w:tcPr>
          <w:p w14:paraId="523A38C1" w14:textId="3A0060BE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117.06</w:t>
            </w:r>
          </w:p>
        </w:tc>
      </w:tr>
      <w:tr w:rsidR="00A76399" w:rsidRPr="00A76399" w14:paraId="4CF89162" w14:textId="77777777" w:rsidTr="003326D5">
        <w:trPr>
          <w:trHeight w:val="20"/>
        </w:trPr>
        <w:tc>
          <w:tcPr>
            <w:tcW w:w="2904" w:type="dxa"/>
            <w:vAlign w:val="center"/>
          </w:tcPr>
          <w:p w14:paraId="586DD64C" w14:textId="77777777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Median household income</w:t>
            </w:r>
          </w:p>
          <w:p w14:paraId="7F5C4ECD" w14:textId="08C2F5E8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1636" w:type="dxa"/>
            <w:vAlign w:val="center"/>
          </w:tcPr>
          <w:p w14:paraId="13480A68" w14:textId="1D617773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N/A</w:t>
            </w:r>
          </w:p>
        </w:tc>
        <w:tc>
          <w:tcPr>
            <w:tcW w:w="3025" w:type="dxa"/>
            <w:vAlign w:val="center"/>
          </w:tcPr>
          <w:p w14:paraId="30443D2C" w14:textId="77777777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(%)</w:t>
            </w:r>
          </w:p>
          <w:p w14:paraId="4DC3FC0A" w14:textId="44EB8611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</w:rPr>
              <w:t>(ITU, 2016)</w:t>
            </w:r>
          </w:p>
        </w:tc>
        <w:tc>
          <w:tcPr>
            <w:tcW w:w="1450" w:type="dxa"/>
            <w:vAlign w:val="center"/>
          </w:tcPr>
          <w:p w14:paraId="5732A534" w14:textId="3B8C218E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45.5</w:t>
            </w:r>
          </w:p>
        </w:tc>
      </w:tr>
      <w:tr w:rsidR="00A76399" w:rsidRPr="00A76399" w14:paraId="18871E7F" w14:textId="77777777" w:rsidTr="003326D5">
        <w:trPr>
          <w:trHeight w:val="20"/>
        </w:trPr>
        <w:tc>
          <w:tcPr>
            <w:tcW w:w="2904" w:type="dxa"/>
            <w:vAlign w:val="center"/>
          </w:tcPr>
          <w:p w14:paraId="4F4EB607" w14:textId="7EFA48EE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  <w:p w14:paraId="2D1E2E0B" w14:textId="56BDED8A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</w:rPr>
              <w:t>(Mean years of schooling) (UNDP, 2013)</w:t>
            </w:r>
          </w:p>
        </w:tc>
        <w:tc>
          <w:tcPr>
            <w:tcW w:w="1636" w:type="dxa"/>
            <w:vAlign w:val="center"/>
          </w:tcPr>
          <w:p w14:paraId="3892119A" w14:textId="77777777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399">
              <w:rPr>
                <w:rFonts w:ascii="Times New Roman" w:hAnsi="Times New Roman" w:cs="Times New Roman"/>
                <w:sz w:val="24"/>
                <w:szCs w:val="24"/>
              </w:rPr>
              <w:t>Male: 9.6</w:t>
            </w:r>
          </w:p>
          <w:p w14:paraId="79D91490" w14:textId="56BA0E1F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</w:rPr>
              <w:t>Female: 8.5</w:t>
            </w:r>
          </w:p>
        </w:tc>
        <w:tc>
          <w:tcPr>
            <w:tcW w:w="3025" w:type="dxa"/>
            <w:vAlign w:val="center"/>
          </w:tcPr>
          <w:p w14:paraId="17F6DDD6" w14:textId="345B4FD4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by Gender (%) (ITU, 2016)</w:t>
            </w:r>
          </w:p>
        </w:tc>
        <w:tc>
          <w:tcPr>
            <w:tcW w:w="1450" w:type="dxa"/>
            <w:vAlign w:val="center"/>
          </w:tcPr>
          <w:p w14:paraId="5ACF18A6" w14:textId="77777777" w:rsidR="0096762B" w:rsidRPr="00A76399" w:rsidRDefault="0096762B" w:rsidP="00EB5CC2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7639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Male: 48.3</w:t>
            </w:r>
          </w:p>
          <w:p w14:paraId="74A92897" w14:textId="55F18314" w:rsidR="0096762B" w:rsidRPr="00A76399" w:rsidRDefault="0096762B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Female: 42.6</w:t>
            </w:r>
          </w:p>
        </w:tc>
      </w:tr>
    </w:tbl>
    <w:p w14:paraId="7438804E" w14:textId="0C4F7347" w:rsidR="00327122" w:rsidRPr="00A76399" w:rsidRDefault="00D726BA" w:rsidP="00EB5CC2">
      <w:pPr>
        <w:pStyle w:val="Heading1"/>
        <w:rPr>
          <w:b/>
        </w:rPr>
      </w:pPr>
      <w:r w:rsidRPr="00A76399">
        <w:t>Project Description</w:t>
      </w:r>
    </w:p>
    <w:p w14:paraId="1FDAD4CB" w14:textId="407C0FB4" w:rsidR="00FA632D" w:rsidRPr="00A76399" w:rsidRDefault="008431C6" w:rsidP="00EB5CC2">
      <w:r w:rsidRPr="00A76399">
        <w:t xml:space="preserve">The Balsapuerto network was built in 2012 </w:t>
      </w:r>
      <w:r w:rsidR="00E96CB1" w:rsidRPr="00A76399">
        <w:t>as</w:t>
      </w:r>
      <w:r w:rsidRPr="00A76399">
        <w:t xml:space="preserve"> </w:t>
      </w:r>
      <w:r w:rsidR="00E96CB1" w:rsidRPr="00A76399">
        <w:t>a collaborative project between</w:t>
      </w:r>
      <w:r w:rsidRPr="00A76399">
        <w:t xml:space="preserve"> the Institute of Electrical and Electronics Engineers (IEEE), the Grupo de Telecommunicaciones Rurales (an affiliate of the Catholic University of Lima), and a collection of expert volunteers. The network connects four health posts in the upper Amazon using low-cost, high-speed Internet connectivity with Wi-Fi Long Distance Networking (WiLDNet). The technological aspects of the network were very successful, but t</w:t>
      </w:r>
      <w:r w:rsidR="00322B44" w:rsidRPr="00A76399">
        <w:t>he project suffered from little-</w:t>
      </w:r>
      <w:r w:rsidRPr="00A76399">
        <w:t>to</w:t>
      </w:r>
      <w:r w:rsidR="00322B44" w:rsidRPr="00A76399">
        <w:t>-</w:t>
      </w:r>
      <w:r w:rsidRPr="00A76399">
        <w:t xml:space="preserve">no planning for the network’s financial sustainability. The network as it was originally conceived ceased to function in mid-2014 and was rebuilt and re-oriented by international research funding that stripped the local stakeholders of ownership and did little to improve the long-term prospects for sustainability. </w:t>
      </w:r>
    </w:p>
    <w:tbl>
      <w:tblPr>
        <w:tblStyle w:val="TableGrid"/>
        <w:tblW w:w="9010" w:type="dxa"/>
        <w:jc w:val="center"/>
        <w:tblCellMar>
          <w:top w:w="100" w:type="dxa"/>
          <w:left w:w="115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41"/>
        <w:gridCol w:w="1872"/>
        <w:gridCol w:w="2641"/>
      </w:tblGrid>
      <w:tr w:rsidR="00A76399" w:rsidRPr="00A76399" w14:paraId="3CCEA512" w14:textId="77777777" w:rsidTr="00EB5CC2">
        <w:trPr>
          <w:trHeight w:val="20"/>
          <w:jc w:val="center"/>
        </w:trPr>
        <w:tc>
          <w:tcPr>
            <w:tcW w:w="9010" w:type="dxa"/>
            <w:gridSpan w:val="4"/>
            <w:vAlign w:val="center"/>
          </w:tcPr>
          <w:p w14:paraId="717551C3" w14:textId="39DF91BC" w:rsidR="00DF4F89" w:rsidRPr="00A76399" w:rsidRDefault="00576942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  <w:lang w:eastAsia="en-US"/>
              </w:rPr>
            </w:pPr>
            <w:r w:rsidRPr="00A76399">
              <w:rPr>
                <w:rFonts w:cs="Times New Roman"/>
                <w:b/>
                <w:szCs w:val="24"/>
                <w:lang w:eastAsia="en-US"/>
              </w:rPr>
              <w:lastRenderedPageBreak/>
              <w:t>Project details</w:t>
            </w:r>
          </w:p>
        </w:tc>
      </w:tr>
      <w:tr w:rsidR="00A76399" w:rsidRPr="00A76399" w14:paraId="0AFEE9C5" w14:textId="77777777" w:rsidTr="00EB5CC2">
        <w:trPr>
          <w:trHeight w:val="20"/>
          <w:jc w:val="center"/>
        </w:trPr>
        <w:tc>
          <w:tcPr>
            <w:tcW w:w="2256" w:type="dxa"/>
            <w:vAlign w:val="center"/>
          </w:tcPr>
          <w:p w14:paraId="245269AD" w14:textId="7F5375E4" w:rsidR="00DF4F89" w:rsidRPr="00A76399" w:rsidRDefault="00DF4F89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</w:rPr>
            </w:pPr>
            <w:r w:rsidRPr="00A76399">
              <w:rPr>
                <w:rFonts w:cs="Times New Roman"/>
                <w:b/>
                <w:szCs w:val="24"/>
              </w:rPr>
              <w:t>Technology</w:t>
            </w:r>
          </w:p>
        </w:tc>
        <w:tc>
          <w:tcPr>
            <w:tcW w:w="2241" w:type="dxa"/>
            <w:vAlign w:val="center"/>
          </w:tcPr>
          <w:p w14:paraId="08ACD2F7" w14:textId="1830B6EE" w:rsidR="00707AB2" w:rsidRPr="00A76399" w:rsidRDefault="00A1709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Wi-Fi Long Distance Networking (Wi</w:t>
            </w:r>
            <w:r w:rsidR="000C37D0" w:rsidRPr="00A76399">
              <w:rPr>
                <w:rFonts w:cs="Times New Roman"/>
                <w:szCs w:val="24"/>
                <w:lang w:eastAsia="en-US"/>
              </w:rPr>
              <w:t>LDNET</w:t>
            </w:r>
            <w:r w:rsidR="00044162" w:rsidRPr="00A76399">
              <w:rPr>
                <w:rFonts w:cs="Times New Roman"/>
                <w:szCs w:val="24"/>
                <w:lang w:eastAsia="en-US"/>
              </w:rPr>
              <w:t>) over 5.8 GHz spectrum</w:t>
            </w:r>
          </w:p>
        </w:tc>
        <w:tc>
          <w:tcPr>
            <w:tcW w:w="1872" w:type="dxa"/>
            <w:vAlign w:val="center"/>
          </w:tcPr>
          <w:p w14:paraId="6925FB49" w14:textId="5A837735" w:rsidR="00DF4F89" w:rsidRPr="00A76399" w:rsidRDefault="00707AB2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</w:rPr>
            </w:pPr>
            <w:r w:rsidRPr="00A76399">
              <w:rPr>
                <w:rFonts w:cs="Times New Roman"/>
                <w:b/>
                <w:szCs w:val="24"/>
              </w:rPr>
              <w:t>Training</w:t>
            </w:r>
          </w:p>
        </w:tc>
        <w:tc>
          <w:tcPr>
            <w:tcW w:w="2641" w:type="dxa"/>
            <w:vAlign w:val="center"/>
          </w:tcPr>
          <w:p w14:paraId="5B5FF320" w14:textId="3E97E9CB" w:rsidR="00DF4F89" w:rsidRPr="00A76399" w:rsidRDefault="00707AB2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None</w:t>
            </w:r>
          </w:p>
        </w:tc>
      </w:tr>
      <w:tr w:rsidR="00A76399" w:rsidRPr="00A76399" w14:paraId="70CB446E" w14:textId="77777777" w:rsidTr="00EB5CC2">
        <w:trPr>
          <w:trHeight w:val="20"/>
          <w:jc w:val="center"/>
        </w:trPr>
        <w:tc>
          <w:tcPr>
            <w:tcW w:w="2256" w:type="dxa"/>
            <w:vAlign w:val="center"/>
          </w:tcPr>
          <w:p w14:paraId="705AE78E" w14:textId="3B22B0B9" w:rsidR="000B625F" w:rsidRPr="00A76399" w:rsidRDefault="00576942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</w:rPr>
            </w:pPr>
            <w:r w:rsidRPr="00A76399">
              <w:rPr>
                <w:rFonts w:cs="Times New Roman"/>
                <w:b/>
                <w:szCs w:val="24"/>
              </w:rPr>
              <w:t>Year program started</w:t>
            </w:r>
          </w:p>
        </w:tc>
        <w:tc>
          <w:tcPr>
            <w:tcW w:w="2241" w:type="dxa"/>
            <w:vAlign w:val="center"/>
          </w:tcPr>
          <w:p w14:paraId="6A722D3E" w14:textId="3412DC3E" w:rsidR="00DF4F89" w:rsidRPr="00A76399" w:rsidRDefault="00FC20B8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2012</w:t>
            </w:r>
          </w:p>
        </w:tc>
        <w:tc>
          <w:tcPr>
            <w:tcW w:w="1872" w:type="dxa"/>
            <w:vAlign w:val="center"/>
          </w:tcPr>
          <w:p w14:paraId="393E8AB3" w14:textId="1962BFA9" w:rsidR="00DF4F89" w:rsidRPr="00A76399" w:rsidRDefault="00044162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  <w:lang w:eastAsia="en-US"/>
              </w:rPr>
            </w:pPr>
            <w:r w:rsidRPr="00A76399">
              <w:rPr>
                <w:rFonts w:cs="Times New Roman"/>
                <w:b/>
                <w:szCs w:val="24"/>
                <w:lang w:eastAsia="en-US"/>
              </w:rPr>
              <w:t>C</w:t>
            </w:r>
            <w:r w:rsidR="00707AB2" w:rsidRPr="00A76399">
              <w:rPr>
                <w:rFonts w:cs="Times New Roman"/>
                <w:b/>
                <w:szCs w:val="24"/>
                <w:lang w:eastAsia="en-US"/>
              </w:rPr>
              <w:t>ost to users</w:t>
            </w:r>
          </w:p>
        </w:tc>
        <w:tc>
          <w:tcPr>
            <w:tcW w:w="2641" w:type="dxa"/>
            <w:vAlign w:val="center"/>
          </w:tcPr>
          <w:p w14:paraId="2F5BD370" w14:textId="7C5F6752" w:rsidR="00DF4F89" w:rsidRPr="00A76399" w:rsidRDefault="00044162" w:rsidP="00EB5CC2">
            <w:pPr>
              <w:spacing w:after="0"/>
              <w:contextualSpacing/>
              <w:jc w:val="center"/>
              <w:rPr>
                <w:rFonts w:cs="Times New Roman"/>
                <w:szCs w:val="24"/>
              </w:rPr>
            </w:pPr>
            <w:r w:rsidRPr="00A76399">
              <w:rPr>
                <w:rFonts w:cs="Times New Roman"/>
                <w:szCs w:val="24"/>
              </w:rPr>
              <w:t>Free</w:t>
            </w:r>
          </w:p>
        </w:tc>
      </w:tr>
      <w:tr w:rsidR="00A76399" w:rsidRPr="00A76399" w14:paraId="1FBF05C1" w14:textId="77777777" w:rsidTr="00EB5CC2">
        <w:trPr>
          <w:trHeight w:val="20"/>
          <w:jc w:val="center"/>
        </w:trPr>
        <w:tc>
          <w:tcPr>
            <w:tcW w:w="2256" w:type="dxa"/>
            <w:vAlign w:val="center"/>
          </w:tcPr>
          <w:p w14:paraId="410D1A82" w14:textId="6EEA0DCF" w:rsidR="00DF4F89" w:rsidRPr="00A76399" w:rsidRDefault="00631C91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  <w:lang w:eastAsia="en-US"/>
              </w:rPr>
            </w:pPr>
            <w:r w:rsidRPr="00A76399">
              <w:rPr>
                <w:rFonts w:cs="Times New Roman"/>
                <w:b/>
                <w:szCs w:val="24"/>
                <w:lang w:eastAsia="en-US"/>
              </w:rPr>
              <w:t>Geography</w:t>
            </w:r>
          </w:p>
        </w:tc>
        <w:tc>
          <w:tcPr>
            <w:tcW w:w="2241" w:type="dxa"/>
            <w:vAlign w:val="center"/>
          </w:tcPr>
          <w:p w14:paraId="2EBED275" w14:textId="4F3784EA" w:rsidR="008E24B1" w:rsidRPr="00A76399" w:rsidRDefault="00044162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Upper Amazon with population density of 10 users per square kilometer and poor roads</w:t>
            </w:r>
          </w:p>
        </w:tc>
        <w:tc>
          <w:tcPr>
            <w:tcW w:w="1872" w:type="dxa"/>
            <w:vAlign w:val="center"/>
          </w:tcPr>
          <w:p w14:paraId="699C9530" w14:textId="30A785DF" w:rsidR="00DF4F89" w:rsidRPr="00A76399" w:rsidRDefault="00E4415D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  <w:lang w:eastAsia="en-US"/>
              </w:rPr>
            </w:pPr>
            <w:r w:rsidRPr="00A76399">
              <w:rPr>
                <w:rFonts w:cs="Times New Roman"/>
                <w:b/>
                <w:szCs w:val="24"/>
              </w:rPr>
              <w:t>Total cost of program</w:t>
            </w:r>
          </w:p>
        </w:tc>
        <w:tc>
          <w:tcPr>
            <w:tcW w:w="2641" w:type="dxa"/>
            <w:vAlign w:val="center"/>
          </w:tcPr>
          <w:p w14:paraId="3714459A" w14:textId="3CE27A21" w:rsidR="00DF4F89" w:rsidRPr="00A76399" w:rsidRDefault="00E4415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Fixed</w:t>
            </w:r>
            <w:r w:rsidR="000B625F" w:rsidRPr="00A76399">
              <w:rPr>
                <w:rFonts w:cs="Times New Roman"/>
                <w:szCs w:val="24"/>
                <w:lang w:eastAsia="en-US"/>
              </w:rPr>
              <w:t xml:space="preserve"> cost</w:t>
            </w:r>
            <w:r w:rsidR="008E07E2" w:rsidRPr="00A76399">
              <w:rPr>
                <w:rFonts w:cs="Times New Roman"/>
                <w:szCs w:val="24"/>
                <w:lang w:eastAsia="en-US"/>
              </w:rPr>
              <w:t xml:space="preserve">: </w:t>
            </w:r>
            <w:r w:rsidRPr="00A76399">
              <w:rPr>
                <w:rFonts w:cs="Times New Roman"/>
                <w:szCs w:val="24"/>
                <w:lang w:eastAsia="en-US"/>
              </w:rPr>
              <w:t>US</w:t>
            </w:r>
            <w:r w:rsidR="008E07E2" w:rsidRPr="00A76399">
              <w:rPr>
                <w:rFonts w:cs="Times New Roman"/>
                <w:szCs w:val="24"/>
                <w:lang w:eastAsia="en-US"/>
              </w:rPr>
              <w:t>$</w:t>
            </w:r>
            <w:r w:rsidRPr="00A76399">
              <w:rPr>
                <w:rFonts w:cs="Times New Roman"/>
                <w:szCs w:val="24"/>
                <w:lang w:eastAsia="en-US"/>
              </w:rPr>
              <w:t xml:space="preserve"> 12</w:t>
            </w:r>
            <w:r w:rsidR="008E07E2" w:rsidRPr="00A76399">
              <w:rPr>
                <w:rFonts w:cs="Times New Roman"/>
                <w:szCs w:val="24"/>
                <w:lang w:eastAsia="en-US"/>
              </w:rPr>
              <w:t>,000</w:t>
            </w:r>
          </w:p>
        </w:tc>
      </w:tr>
      <w:tr w:rsidR="00A76399" w:rsidRPr="00A76399" w14:paraId="3C0CA8A5" w14:textId="77777777" w:rsidTr="00EB5CC2">
        <w:trPr>
          <w:trHeight w:val="20"/>
          <w:jc w:val="center"/>
        </w:trPr>
        <w:tc>
          <w:tcPr>
            <w:tcW w:w="2256" w:type="dxa"/>
            <w:vAlign w:val="center"/>
          </w:tcPr>
          <w:p w14:paraId="7E4C8AA9" w14:textId="11B249D0" w:rsidR="00707AB2" w:rsidRPr="00A76399" w:rsidRDefault="00707AB2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  <w:lang w:eastAsia="en-US"/>
              </w:rPr>
            </w:pPr>
            <w:r w:rsidRPr="00A76399">
              <w:rPr>
                <w:rFonts w:cs="Times New Roman"/>
                <w:b/>
                <w:szCs w:val="24"/>
              </w:rPr>
              <w:t>User profile</w:t>
            </w:r>
          </w:p>
        </w:tc>
        <w:tc>
          <w:tcPr>
            <w:tcW w:w="2241" w:type="dxa"/>
            <w:vAlign w:val="center"/>
          </w:tcPr>
          <w:p w14:paraId="59707585" w14:textId="20EF3FAF" w:rsidR="00707AB2" w:rsidRPr="00A76399" w:rsidRDefault="008E169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10 to 100 user</w:t>
            </w:r>
            <w:r w:rsidR="004E7E7D" w:rsidRPr="00A76399">
              <w:rPr>
                <w:rFonts w:cs="Times New Roman"/>
                <w:szCs w:val="24"/>
                <w:lang w:eastAsia="en-US"/>
              </w:rPr>
              <w:t>s</w:t>
            </w:r>
          </w:p>
        </w:tc>
        <w:tc>
          <w:tcPr>
            <w:tcW w:w="1872" w:type="dxa"/>
            <w:vAlign w:val="center"/>
          </w:tcPr>
          <w:p w14:paraId="4A596088" w14:textId="310C43F5" w:rsidR="00707AB2" w:rsidRPr="00A76399" w:rsidRDefault="00D726BA" w:rsidP="00EB5CC2">
            <w:pPr>
              <w:spacing w:after="0"/>
              <w:contextualSpacing/>
              <w:jc w:val="center"/>
              <w:rPr>
                <w:rFonts w:cs="Times New Roman"/>
                <w:b/>
                <w:szCs w:val="24"/>
              </w:rPr>
            </w:pPr>
            <w:r w:rsidRPr="00A76399">
              <w:rPr>
                <w:rFonts w:cs="Times New Roman"/>
                <w:b/>
                <w:szCs w:val="24"/>
              </w:rPr>
              <w:t>Associated o</w:t>
            </w:r>
            <w:r w:rsidR="00707AB2" w:rsidRPr="00A76399">
              <w:rPr>
                <w:rFonts w:cs="Times New Roman"/>
                <w:b/>
                <w:szCs w:val="24"/>
              </w:rPr>
              <w:t>rganizations</w:t>
            </w:r>
          </w:p>
        </w:tc>
        <w:tc>
          <w:tcPr>
            <w:tcW w:w="2641" w:type="dxa"/>
            <w:vAlign w:val="center"/>
          </w:tcPr>
          <w:p w14:paraId="76173154" w14:textId="754D1FCA" w:rsidR="004E7E7D" w:rsidRPr="00A76399" w:rsidRDefault="004E7E7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Catholic University of Lima</w:t>
            </w:r>
            <w:r w:rsidR="000B625F" w:rsidRPr="00A76399">
              <w:rPr>
                <w:rFonts w:cs="Times New Roman"/>
                <w:szCs w:val="24"/>
                <w:lang w:eastAsia="en-US"/>
              </w:rPr>
              <w:t>,</w:t>
            </w:r>
          </w:p>
          <w:p w14:paraId="779DE9D7" w14:textId="2AC98D15" w:rsidR="004E7E7D" w:rsidRPr="00A76399" w:rsidRDefault="004E7E7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City of Madrid</w:t>
            </w:r>
            <w:r w:rsidR="000B625F" w:rsidRPr="00A76399">
              <w:rPr>
                <w:rFonts w:cs="Times New Roman"/>
                <w:szCs w:val="24"/>
                <w:lang w:eastAsia="en-US"/>
              </w:rPr>
              <w:t>,</w:t>
            </w:r>
          </w:p>
          <w:p w14:paraId="5DA28B09" w14:textId="11362C7C" w:rsidR="004E7E7D" w:rsidRPr="00A76399" w:rsidRDefault="004E7E7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EU</w:t>
            </w:r>
            <w:r w:rsidR="000B625F" w:rsidRPr="00A76399">
              <w:rPr>
                <w:rFonts w:cs="Times New Roman"/>
                <w:szCs w:val="24"/>
                <w:lang w:eastAsia="en-US"/>
              </w:rPr>
              <w:t>,</w:t>
            </w:r>
          </w:p>
          <w:p w14:paraId="07B7C0C3" w14:textId="665539F5" w:rsidR="004E7E7D" w:rsidRPr="00A76399" w:rsidRDefault="004E7E7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IEEE</w:t>
            </w:r>
            <w:r w:rsidR="000B625F" w:rsidRPr="00A76399">
              <w:rPr>
                <w:rFonts w:cs="Times New Roman"/>
                <w:szCs w:val="24"/>
                <w:lang w:eastAsia="en-US"/>
              </w:rPr>
              <w:t>,</w:t>
            </w:r>
          </w:p>
          <w:p w14:paraId="7286902B" w14:textId="6E9D4C95" w:rsidR="004E7E7D" w:rsidRPr="00A76399" w:rsidRDefault="004E7E7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GTR</w:t>
            </w:r>
            <w:r w:rsidR="000B625F" w:rsidRPr="00A76399">
              <w:rPr>
                <w:rFonts w:cs="Times New Roman"/>
                <w:szCs w:val="24"/>
                <w:lang w:eastAsia="en-US"/>
              </w:rPr>
              <w:t>,</w:t>
            </w:r>
          </w:p>
          <w:p w14:paraId="6ACAF4CE" w14:textId="77777777" w:rsidR="004E7E7D" w:rsidRPr="00A76399" w:rsidRDefault="004E7E7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The Global Fund</w:t>
            </w:r>
          </w:p>
          <w:p w14:paraId="639A932A" w14:textId="37D550F8" w:rsidR="00707AB2" w:rsidRPr="00A76399" w:rsidRDefault="004E7E7D" w:rsidP="00EB5CC2">
            <w:pPr>
              <w:spacing w:after="0"/>
              <w:contextualSpacing/>
              <w:jc w:val="center"/>
              <w:rPr>
                <w:rFonts w:cs="Times New Roman"/>
                <w:szCs w:val="24"/>
                <w:lang w:eastAsia="en-US"/>
              </w:rPr>
            </w:pPr>
            <w:r w:rsidRPr="00A76399">
              <w:rPr>
                <w:rFonts w:cs="Times New Roman"/>
                <w:szCs w:val="24"/>
                <w:lang w:eastAsia="en-US"/>
              </w:rPr>
              <w:t>University of Colorado</w:t>
            </w:r>
          </w:p>
        </w:tc>
      </w:tr>
    </w:tbl>
    <w:p w14:paraId="5EA84BF5" w14:textId="09E1705B" w:rsidR="00286CB9" w:rsidRPr="00A76399" w:rsidRDefault="00D726BA" w:rsidP="00EB5CC2">
      <w:pPr>
        <w:pStyle w:val="Heading1"/>
        <w:rPr>
          <w:b/>
        </w:rPr>
      </w:pPr>
      <w:r w:rsidRPr="00A76399">
        <w:t>Progress and Results</w:t>
      </w:r>
    </w:p>
    <w:p w14:paraId="7B14EA09" w14:textId="7A770827" w:rsidR="007E4118" w:rsidRPr="00A76399" w:rsidRDefault="003022E4" w:rsidP="00EB5CC2">
      <w:r w:rsidRPr="00A76399">
        <w:t xml:space="preserve">In 2014, the program managers wrote a Humanitarian Activities Committee grant to organize a workshop focused on sustainability. Participants included the network’s local stakeholders and invited experts in </w:t>
      </w:r>
      <w:r w:rsidR="00663C68" w:rsidRPr="00A76399">
        <w:t>information technology</w:t>
      </w:r>
      <w:r w:rsidRPr="00A76399">
        <w:t xml:space="preserve"> and developmental economics. </w:t>
      </w:r>
      <w:r w:rsidR="00AB4B66" w:rsidRPr="00A76399">
        <w:t xml:space="preserve">The two-day meeting resulted in agreements </w:t>
      </w:r>
      <w:r w:rsidR="0036061C" w:rsidRPr="00A76399">
        <w:t>that would produce a for-profit business model able to sustain the network’s maintenance in all the concerned</w:t>
      </w:r>
      <w:r w:rsidR="00663C68" w:rsidRPr="00A76399">
        <w:t xml:space="preserve"> villages</w:t>
      </w:r>
      <w:r w:rsidR="0036061C" w:rsidRPr="00A76399">
        <w:t xml:space="preserve">. </w:t>
      </w:r>
      <w:r w:rsidR="00020D86" w:rsidRPr="00A76399">
        <w:t>However</w:t>
      </w:r>
      <w:r w:rsidR="0036061C" w:rsidRPr="00A76399">
        <w:t>, these agreements were never put into action. The networks were taken over and re-equipped by the European Union under a research aegis</w:t>
      </w:r>
      <w:r w:rsidR="00663C68" w:rsidRPr="00A76399">
        <w:t>,</w:t>
      </w:r>
      <w:r w:rsidR="0036061C" w:rsidRPr="00A76399">
        <w:t xml:space="preserve"> and slipped out of the ownership and purview of the original research team. </w:t>
      </w:r>
    </w:p>
    <w:p w14:paraId="2653A51C" w14:textId="1FE67C2A" w:rsidR="005B25BE" w:rsidRPr="00A76399" w:rsidRDefault="0036061C" w:rsidP="00EB5CC2">
      <w:r w:rsidRPr="00A76399">
        <w:t>The network c</w:t>
      </w:r>
      <w:r w:rsidR="0066184A" w:rsidRPr="00A76399">
        <w:t>ontinues to support health post</w:t>
      </w:r>
      <w:r w:rsidRPr="00A76399">
        <w:t xml:space="preserve"> connectivity, improving the efficacy of record keeping and care in the area</w:t>
      </w:r>
      <w:r w:rsidR="002B36C8" w:rsidRPr="00A76399">
        <w:t>, though there is little available data on exactly how its improvements have been impactful</w:t>
      </w:r>
      <w:r w:rsidR="00882888" w:rsidRPr="00A76399">
        <w:t xml:space="preserve"> or how long the network will be maintained. </w:t>
      </w:r>
      <w:r w:rsidR="002B36C8" w:rsidRPr="00A76399">
        <w:t xml:space="preserve">The project’s instigators are currently at work building a similar network in Bolivia using the lessons learned from their experiences in Balsapeurto. </w:t>
      </w:r>
    </w:p>
    <w:p w14:paraId="3C489FF2" w14:textId="5B522B4A" w:rsidR="00152D28" w:rsidRPr="00A76399" w:rsidRDefault="00064898" w:rsidP="00EB5CC2">
      <w:pPr>
        <w:pStyle w:val="Heading1"/>
        <w:rPr>
          <w:b/>
        </w:rPr>
      </w:pPr>
      <w:r w:rsidRPr="00A76399">
        <w:t>Challenges</w:t>
      </w:r>
    </w:p>
    <w:p w14:paraId="5F246FD7" w14:textId="7E2F49FB" w:rsidR="005B25BE" w:rsidRPr="00A76399" w:rsidRDefault="00044162" w:rsidP="00EB5CC2">
      <w:r w:rsidRPr="00A76399">
        <w:rPr>
          <w:b/>
        </w:rPr>
        <w:t>Uneven t</w:t>
      </w:r>
      <w:r w:rsidR="008E24B1" w:rsidRPr="00A76399">
        <w:rPr>
          <w:b/>
        </w:rPr>
        <w:t>errain</w:t>
      </w:r>
      <w:r w:rsidR="007E3CC2" w:rsidRPr="00A76399">
        <w:rPr>
          <w:b/>
        </w:rPr>
        <w:t xml:space="preserve"> – </w:t>
      </w:r>
      <w:r w:rsidR="00AB4B66" w:rsidRPr="00A76399">
        <w:t xml:space="preserve">This upper Amazon district is difficult to access. Roads are underdeveloped and the river tributary that leads to the local port is often dry, making the area doubly inaccessible. </w:t>
      </w:r>
    </w:p>
    <w:p w14:paraId="18D80ED2" w14:textId="713F93D1" w:rsidR="005B25BE" w:rsidRPr="00A76399" w:rsidRDefault="00044162" w:rsidP="00EB5CC2">
      <w:r w:rsidRPr="00A76399">
        <w:rPr>
          <w:b/>
        </w:rPr>
        <w:t xml:space="preserve">Lack of a business model </w:t>
      </w:r>
      <w:r w:rsidR="007E3CC2" w:rsidRPr="00A76399">
        <w:rPr>
          <w:b/>
        </w:rPr>
        <w:t>–</w:t>
      </w:r>
      <w:r w:rsidR="005B25BE" w:rsidRPr="00A76399">
        <w:rPr>
          <w:b/>
        </w:rPr>
        <w:t xml:space="preserve"> </w:t>
      </w:r>
      <w:r w:rsidR="0036061C" w:rsidRPr="00A76399">
        <w:t>Though a sustainable model was eventually developed, it could not be implemented because it was developed after the network had already exhausted its resources</w:t>
      </w:r>
      <w:r w:rsidR="004B1CC2" w:rsidRPr="00A76399">
        <w:t>, which were only intended for the network’s creation</w:t>
      </w:r>
      <w:r w:rsidR="0036061C" w:rsidRPr="00A76399">
        <w:t xml:space="preserve">. </w:t>
      </w:r>
    </w:p>
    <w:p w14:paraId="34AE62A3" w14:textId="22BBD2C5" w:rsidR="00841822" w:rsidRPr="00A76399" w:rsidRDefault="00D973D8" w:rsidP="00EB5CC2">
      <w:r w:rsidRPr="00A76399">
        <w:rPr>
          <w:b/>
        </w:rPr>
        <w:lastRenderedPageBreak/>
        <w:t>Regulatory Ambiguity</w:t>
      </w:r>
      <w:r w:rsidR="007E3CC2" w:rsidRPr="00A76399">
        <w:rPr>
          <w:b/>
        </w:rPr>
        <w:t xml:space="preserve"> –</w:t>
      </w:r>
      <w:r w:rsidR="003022E4" w:rsidRPr="00A76399">
        <w:rPr>
          <w:b/>
        </w:rPr>
        <w:t xml:space="preserve"> </w:t>
      </w:r>
      <w:r w:rsidR="0036061C" w:rsidRPr="00A76399">
        <w:t xml:space="preserve">Certain rhetorical choices on the part of the project managers made their regulatory position ambiguous. Because of some grey areas in the status of </w:t>
      </w:r>
      <w:r w:rsidR="0099157E" w:rsidRPr="00A76399">
        <w:t>voice of Internet Protocol (</w:t>
      </w:r>
      <w:r w:rsidR="0036061C" w:rsidRPr="00A76399">
        <w:t>VoIP</w:t>
      </w:r>
      <w:r w:rsidR="0099157E" w:rsidRPr="00A76399">
        <w:t>)</w:t>
      </w:r>
      <w:r w:rsidR="0036061C" w:rsidRPr="00A76399">
        <w:t>, the telecommunications sector was</w:t>
      </w:r>
      <w:r w:rsidR="0099157E" w:rsidRPr="00A76399">
        <w:t xml:space="preserve"> also</w:t>
      </w:r>
      <w:r w:rsidR="0036061C" w:rsidRPr="00A76399">
        <w:t xml:space="preserve"> concerned that connectivity might be infringing on phone service competition without the proper licensing. </w:t>
      </w:r>
    </w:p>
    <w:p w14:paraId="20609799" w14:textId="5D9914EE" w:rsidR="00963D1F" w:rsidRPr="00A76399" w:rsidRDefault="00D973D8" w:rsidP="00EB5CC2">
      <w:r w:rsidRPr="00A76399">
        <w:rPr>
          <w:b/>
        </w:rPr>
        <w:t>Lack of s</w:t>
      </w:r>
      <w:r w:rsidR="00841822" w:rsidRPr="00A76399">
        <w:rPr>
          <w:b/>
        </w:rPr>
        <w:t xml:space="preserve">ocial integration and encouragement – </w:t>
      </w:r>
      <w:r w:rsidR="00841822" w:rsidRPr="00A76399">
        <w:t>Once the network was taken over by international funding sources, the funding agents instituted a healthcare-only mindset for the network’s use. With amplification, the WiLDNet technology could easily support many users pursuing a variety of online activities, but this was needlessly discouraged.</w:t>
      </w:r>
    </w:p>
    <w:p w14:paraId="1AEBAA71" w14:textId="34A495FC" w:rsidR="007E3CC2" w:rsidRPr="00A76399" w:rsidRDefault="007E3CC2" w:rsidP="00EB5CC2">
      <w:pPr>
        <w:pStyle w:val="Heading1"/>
        <w:rPr>
          <w:rFonts w:cs="Times New Roman"/>
          <w:b/>
          <w:sz w:val="24"/>
          <w:szCs w:val="24"/>
        </w:rPr>
      </w:pPr>
      <w:r w:rsidRPr="00A76399">
        <w:t>Balsapuerto Network’s Suggestions for Future Projects</w:t>
      </w:r>
    </w:p>
    <w:p w14:paraId="606B728E" w14:textId="54C4DFC0" w:rsidR="005B25BE" w:rsidRPr="00A76399" w:rsidRDefault="007E3CC2" w:rsidP="00EB5CC2">
      <w:pPr>
        <w:rPr>
          <w:rFonts w:cs="Times New Roman"/>
          <w:szCs w:val="24"/>
        </w:rPr>
      </w:pPr>
      <w:r w:rsidRPr="00A76399">
        <w:rPr>
          <w:rFonts w:cs="Times New Roman"/>
          <w:b/>
          <w:szCs w:val="24"/>
        </w:rPr>
        <w:t>Local m</w:t>
      </w:r>
      <w:r w:rsidR="005B25BE" w:rsidRPr="00A76399">
        <w:rPr>
          <w:rFonts w:cs="Times New Roman"/>
          <w:b/>
          <w:szCs w:val="24"/>
        </w:rPr>
        <w:t>aintenance</w:t>
      </w:r>
      <w:r w:rsidRPr="00A76399">
        <w:rPr>
          <w:rFonts w:cs="Times New Roman"/>
          <w:b/>
          <w:szCs w:val="24"/>
        </w:rPr>
        <w:t xml:space="preserve"> </w:t>
      </w:r>
      <w:r w:rsidR="00D973D8" w:rsidRPr="00A76399">
        <w:rPr>
          <w:rFonts w:cs="Times New Roman"/>
          <w:b/>
          <w:szCs w:val="24"/>
        </w:rPr>
        <w:t xml:space="preserve">support can help maintain network resources </w:t>
      </w:r>
      <w:r w:rsidRPr="00A76399">
        <w:rPr>
          <w:rFonts w:cs="Times New Roman"/>
          <w:b/>
          <w:szCs w:val="24"/>
        </w:rPr>
        <w:t xml:space="preserve">– </w:t>
      </w:r>
      <w:r w:rsidR="00841822" w:rsidRPr="00A76399">
        <w:rPr>
          <w:rFonts w:cs="Times New Roman"/>
          <w:szCs w:val="24"/>
        </w:rPr>
        <w:t>The project team notes that c</w:t>
      </w:r>
      <w:r w:rsidR="000C1297" w:rsidRPr="00A76399">
        <w:rPr>
          <w:rFonts w:cs="Times New Roman"/>
          <w:szCs w:val="24"/>
        </w:rPr>
        <w:t xml:space="preserve">osts were reduced and network capabilities improved by training local community members in the maintenance and protection of the network infrastructure. </w:t>
      </w:r>
      <w:r w:rsidR="004E7E7D" w:rsidRPr="00A76399">
        <w:rPr>
          <w:rFonts w:cs="Times New Roman"/>
          <w:szCs w:val="24"/>
        </w:rPr>
        <w:t>Local trainees can assist by handling basic functional tasks</w:t>
      </w:r>
      <w:r w:rsidR="00044162" w:rsidRPr="00A76399">
        <w:rPr>
          <w:rFonts w:cs="Times New Roman"/>
          <w:szCs w:val="24"/>
        </w:rPr>
        <w:t>: light</w:t>
      </w:r>
      <w:r w:rsidR="00AB4B66" w:rsidRPr="00A76399">
        <w:rPr>
          <w:rFonts w:cs="Times New Roman"/>
          <w:szCs w:val="24"/>
        </w:rPr>
        <w:t xml:space="preserve">ning rod construction and battery replacement, microgrid maintenance, etc. </w:t>
      </w:r>
    </w:p>
    <w:p w14:paraId="29397BFC" w14:textId="3D17B4D8" w:rsidR="005B25BE" w:rsidRPr="00A76399" w:rsidRDefault="00D973D8" w:rsidP="00EB5CC2">
      <w:pPr>
        <w:rPr>
          <w:rFonts w:cs="Times New Roman"/>
          <w:szCs w:val="24"/>
        </w:rPr>
      </w:pPr>
      <w:r w:rsidRPr="00A76399">
        <w:rPr>
          <w:rFonts w:cs="Times New Roman"/>
          <w:b/>
          <w:szCs w:val="24"/>
        </w:rPr>
        <w:t>Local o</w:t>
      </w:r>
      <w:r w:rsidR="005B25BE" w:rsidRPr="00A76399">
        <w:rPr>
          <w:rFonts w:cs="Times New Roman"/>
          <w:b/>
          <w:szCs w:val="24"/>
        </w:rPr>
        <w:t>wnership</w:t>
      </w:r>
      <w:r w:rsidRPr="00A76399">
        <w:rPr>
          <w:rFonts w:cs="Times New Roman"/>
          <w:b/>
          <w:szCs w:val="24"/>
        </w:rPr>
        <w:t xml:space="preserve"> and planning might help sustainability</w:t>
      </w:r>
      <w:r w:rsidR="007E3CC2" w:rsidRPr="00A76399">
        <w:rPr>
          <w:rFonts w:cs="Times New Roman"/>
          <w:b/>
          <w:szCs w:val="24"/>
        </w:rPr>
        <w:t xml:space="preserve"> –</w:t>
      </w:r>
      <w:r w:rsidR="00841822" w:rsidRPr="00A76399">
        <w:rPr>
          <w:rFonts w:cs="Times New Roman"/>
          <w:b/>
          <w:szCs w:val="24"/>
        </w:rPr>
        <w:t xml:space="preserve"> </w:t>
      </w:r>
      <w:r w:rsidR="007E3CC2" w:rsidRPr="00A76399">
        <w:rPr>
          <w:rFonts w:cs="Times New Roman"/>
          <w:b/>
          <w:szCs w:val="24"/>
        </w:rPr>
        <w:t xml:space="preserve"> </w:t>
      </w:r>
      <w:r w:rsidR="00841822" w:rsidRPr="00A76399">
        <w:rPr>
          <w:rFonts w:cs="Times New Roman"/>
          <w:szCs w:val="24"/>
        </w:rPr>
        <w:t>The project team notes that l</w:t>
      </w:r>
      <w:r w:rsidR="00AB4B66" w:rsidRPr="00A76399">
        <w:rPr>
          <w:rFonts w:cs="Times New Roman"/>
          <w:szCs w:val="24"/>
        </w:rPr>
        <w:t xml:space="preserve">ocal network ownership is beneficial to sustainable networks. </w:t>
      </w:r>
      <w:r w:rsidR="003D00AE" w:rsidRPr="00A76399">
        <w:rPr>
          <w:rFonts w:cs="Times New Roman"/>
          <w:szCs w:val="24"/>
        </w:rPr>
        <w:t xml:space="preserve">Originally, the </w:t>
      </w:r>
      <w:r w:rsidR="00AB4B66" w:rsidRPr="00A76399">
        <w:rPr>
          <w:rFonts w:cs="Times New Roman"/>
          <w:szCs w:val="24"/>
        </w:rPr>
        <w:t>health centers and local stakeholders privately owned the network</w:t>
      </w:r>
      <w:r w:rsidR="008A62FC" w:rsidRPr="00A76399">
        <w:rPr>
          <w:rFonts w:cs="Times New Roman"/>
          <w:szCs w:val="24"/>
        </w:rPr>
        <w:t xml:space="preserve">. After the transition to </w:t>
      </w:r>
      <w:r w:rsidR="00335E8E" w:rsidRPr="00A76399">
        <w:rPr>
          <w:rFonts w:cs="Times New Roman"/>
          <w:szCs w:val="24"/>
        </w:rPr>
        <w:t>internationally based</w:t>
      </w:r>
      <w:r w:rsidR="00AB4B66" w:rsidRPr="00A76399">
        <w:rPr>
          <w:rFonts w:cs="Times New Roman"/>
          <w:szCs w:val="24"/>
        </w:rPr>
        <w:t xml:space="preserve"> research funds, the infrastructure was replaced </w:t>
      </w:r>
      <w:r w:rsidRPr="00A76399">
        <w:rPr>
          <w:rFonts w:cs="Times New Roman"/>
          <w:szCs w:val="24"/>
        </w:rPr>
        <w:t>and ownership reverted to the St</w:t>
      </w:r>
      <w:r w:rsidR="00AB4B66" w:rsidRPr="00A76399">
        <w:rPr>
          <w:rFonts w:cs="Times New Roman"/>
          <w:szCs w:val="24"/>
        </w:rPr>
        <w:t xml:space="preserve">ate, </w:t>
      </w:r>
      <w:r w:rsidR="008A62FC" w:rsidRPr="00A76399">
        <w:rPr>
          <w:rFonts w:cs="Times New Roman"/>
          <w:szCs w:val="24"/>
        </w:rPr>
        <w:t>as is common when funding is</w:t>
      </w:r>
      <w:r w:rsidR="00AB4B66" w:rsidRPr="00A76399">
        <w:rPr>
          <w:rFonts w:cs="Times New Roman"/>
          <w:szCs w:val="24"/>
        </w:rPr>
        <w:t xml:space="preserve"> sourced</w:t>
      </w:r>
      <w:r w:rsidR="008A62FC" w:rsidRPr="00A76399">
        <w:rPr>
          <w:rFonts w:cs="Times New Roman"/>
          <w:szCs w:val="24"/>
        </w:rPr>
        <w:t xml:space="preserve"> from global charitable organizations</w:t>
      </w:r>
      <w:r w:rsidR="00AB4B66" w:rsidRPr="00A76399">
        <w:rPr>
          <w:rFonts w:cs="Times New Roman"/>
          <w:szCs w:val="24"/>
        </w:rPr>
        <w:t>. T</w:t>
      </w:r>
      <w:r w:rsidRPr="00A76399">
        <w:rPr>
          <w:rFonts w:cs="Times New Roman"/>
          <w:szCs w:val="24"/>
        </w:rPr>
        <w:t>he project team notes that S</w:t>
      </w:r>
      <w:r w:rsidR="00AB4B66" w:rsidRPr="00A76399">
        <w:rPr>
          <w:rFonts w:cs="Times New Roman"/>
          <w:szCs w:val="24"/>
        </w:rPr>
        <w:t xml:space="preserve">tate ownership backed by </w:t>
      </w:r>
      <w:r w:rsidR="008A62FC" w:rsidRPr="00A76399">
        <w:rPr>
          <w:rFonts w:cs="Times New Roman"/>
          <w:szCs w:val="24"/>
        </w:rPr>
        <w:t>charitable/</w:t>
      </w:r>
      <w:r w:rsidR="00AB4B66" w:rsidRPr="00A76399">
        <w:rPr>
          <w:rFonts w:cs="Times New Roman"/>
          <w:szCs w:val="24"/>
        </w:rPr>
        <w:t xml:space="preserve">research funding can be detrimental to </w:t>
      </w:r>
      <w:r w:rsidRPr="00A76399">
        <w:rPr>
          <w:rFonts w:cs="Times New Roman"/>
          <w:szCs w:val="24"/>
        </w:rPr>
        <w:t xml:space="preserve">such </w:t>
      </w:r>
      <w:r w:rsidR="00AB4B66" w:rsidRPr="00A76399">
        <w:rPr>
          <w:rFonts w:cs="Times New Roman"/>
          <w:szCs w:val="24"/>
        </w:rPr>
        <w:t xml:space="preserve">projects. </w:t>
      </w:r>
      <w:r w:rsidR="00C318C2" w:rsidRPr="00A76399">
        <w:rPr>
          <w:rFonts w:cs="Times New Roman"/>
          <w:szCs w:val="24"/>
        </w:rPr>
        <w:t xml:space="preserve">With the right development plan, a network of this type can be sustainable. The key is to consider sustainability from the outset. Even in areas as </w:t>
      </w:r>
      <w:r w:rsidR="005C022D" w:rsidRPr="00A76399">
        <w:rPr>
          <w:rFonts w:cs="Times New Roman"/>
          <w:szCs w:val="24"/>
        </w:rPr>
        <w:t>low-income as the upper Amazon</w:t>
      </w:r>
      <w:r w:rsidR="00C318C2" w:rsidRPr="00A76399">
        <w:rPr>
          <w:rFonts w:cs="Times New Roman"/>
          <w:szCs w:val="24"/>
        </w:rPr>
        <w:t xml:space="preserve">, there are still opportunities for generating profit and maintaining long-term sustainability. </w:t>
      </w:r>
    </w:p>
    <w:p w14:paraId="5B420FBF" w14:textId="1062FE70" w:rsidR="00D81E41" w:rsidRPr="00A76399" w:rsidRDefault="00841822" w:rsidP="00EB5CC2">
      <w:pPr>
        <w:rPr>
          <w:rFonts w:cs="Times New Roman"/>
          <w:szCs w:val="24"/>
        </w:rPr>
      </w:pPr>
      <w:r w:rsidRPr="00A76399">
        <w:rPr>
          <w:rFonts w:cs="Times New Roman"/>
          <w:b/>
          <w:szCs w:val="24"/>
        </w:rPr>
        <w:t xml:space="preserve">Publication </w:t>
      </w:r>
      <w:r w:rsidR="00D973D8" w:rsidRPr="00A76399">
        <w:rPr>
          <w:rFonts w:cs="Times New Roman"/>
          <w:b/>
          <w:szCs w:val="24"/>
        </w:rPr>
        <w:t xml:space="preserve">for knowledge-sharing is key </w:t>
      </w:r>
      <w:r w:rsidRPr="00A76399">
        <w:rPr>
          <w:rFonts w:cs="Times New Roman"/>
          <w:b/>
          <w:szCs w:val="24"/>
        </w:rPr>
        <w:t xml:space="preserve">– </w:t>
      </w:r>
      <w:r w:rsidRPr="00A76399">
        <w:rPr>
          <w:rFonts w:cs="Times New Roman"/>
          <w:szCs w:val="24"/>
        </w:rPr>
        <w:t xml:space="preserve">The network’s initiators noted the need for researchers to publish the work they are conducting in the region. While there is a great deal of relevant research relating to jungle network construction being conducted, its high rate of failure is preventing publicity that could be helpful to future projects. </w:t>
      </w:r>
    </w:p>
    <w:p w14:paraId="30E8C11E" w14:textId="00830642" w:rsidR="00D81E41" w:rsidRPr="00A76399" w:rsidRDefault="00D81E41" w:rsidP="00EB5CC2">
      <w:pPr>
        <w:pStyle w:val="Heading1"/>
        <w:rPr>
          <w:b/>
        </w:rPr>
      </w:pPr>
      <w:r w:rsidRPr="00A76399">
        <w:t>Sources</w:t>
      </w:r>
    </w:p>
    <w:p w14:paraId="0D50D833" w14:textId="42C3046A" w:rsidR="00F754C4" w:rsidRPr="00A76399" w:rsidRDefault="00F754C4" w:rsidP="00EB5CC2">
      <w:pPr>
        <w:pStyle w:val="Bibliography"/>
        <w:spacing w:after="0"/>
        <w:ind w:left="720" w:hanging="720"/>
        <w:rPr>
          <w:rFonts w:cs="Times New Roman"/>
          <w:szCs w:val="24"/>
        </w:rPr>
      </w:pPr>
      <w:r w:rsidRPr="00A76399">
        <w:rPr>
          <w:rFonts w:cs="Times New Roman"/>
          <w:szCs w:val="24"/>
        </w:rPr>
        <w:t>Mickelson, A. (2017, July 5) Personal Interview.</w:t>
      </w:r>
    </w:p>
    <w:p w14:paraId="7182D219" w14:textId="4E8D2FBF" w:rsidR="00F754C4" w:rsidRPr="00A76399" w:rsidRDefault="00F754C4" w:rsidP="00EB5CC2">
      <w:pPr>
        <w:spacing w:after="0"/>
        <w:rPr>
          <w:rFonts w:cs="Times New Roman"/>
          <w:szCs w:val="24"/>
        </w:rPr>
      </w:pPr>
      <w:r w:rsidRPr="00A76399">
        <w:rPr>
          <w:rFonts w:cs="Times New Roman"/>
          <w:szCs w:val="24"/>
        </w:rPr>
        <w:t>Urillo, M. (2017, July 5) Personal Interview</w:t>
      </w:r>
    </w:p>
    <w:p w14:paraId="0EEC84BF" w14:textId="77777777" w:rsidR="00F754C4" w:rsidRPr="00A76399" w:rsidRDefault="00F754C4" w:rsidP="00EB5CC2">
      <w:pPr>
        <w:pStyle w:val="Bibliography"/>
        <w:spacing w:after="0"/>
        <w:ind w:left="720" w:hanging="720"/>
        <w:rPr>
          <w:rFonts w:cs="Times New Roman"/>
          <w:noProof/>
          <w:szCs w:val="24"/>
        </w:rPr>
      </w:pPr>
      <w:r w:rsidRPr="00A76399">
        <w:rPr>
          <w:rFonts w:cs="Times New Roman"/>
          <w:szCs w:val="24"/>
        </w:rPr>
        <w:fldChar w:fldCharType="begin"/>
      </w:r>
      <w:r w:rsidRPr="00A76399">
        <w:rPr>
          <w:rFonts w:cs="Times New Roman"/>
          <w:szCs w:val="24"/>
        </w:rPr>
        <w:instrText xml:space="preserve"> BIBLIOGRAPHY </w:instrText>
      </w:r>
      <w:r w:rsidRPr="00A76399">
        <w:rPr>
          <w:rFonts w:cs="Times New Roman"/>
          <w:szCs w:val="24"/>
        </w:rPr>
        <w:fldChar w:fldCharType="separate"/>
      </w:r>
      <w:r w:rsidRPr="00A76399">
        <w:rPr>
          <w:rFonts w:cs="Times New Roman"/>
          <w:noProof/>
          <w:szCs w:val="24"/>
        </w:rPr>
        <w:t xml:space="preserve">Murillo, M. J., Paco, J. A., &amp; Wright, D. (2015, March 23). Long-Distance Telecommunication in Remote Poor Areas: From Partnerships and Implementation to Sustainability. </w:t>
      </w:r>
      <w:r w:rsidRPr="00A76399">
        <w:rPr>
          <w:rFonts w:cs="Times New Roman"/>
          <w:i/>
          <w:iCs/>
          <w:noProof/>
          <w:szCs w:val="24"/>
        </w:rPr>
        <w:t>IEEE Technology and Society Magazine</w:t>
      </w:r>
      <w:r w:rsidRPr="00A76399">
        <w:rPr>
          <w:rFonts w:cs="Times New Roman"/>
          <w:noProof/>
          <w:szCs w:val="24"/>
        </w:rPr>
        <w:t>.</w:t>
      </w:r>
    </w:p>
    <w:p w14:paraId="268D3E90" w14:textId="24E1E168" w:rsidR="00841822" w:rsidRPr="00A76399" w:rsidRDefault="00F754C4" w:rsidP="00EB5CC2">
      <w:pPr>
        <w:spacing w:after="0"/>
        <w:rPr>
          <w:rFonts w:cs="Times New Roman"/>
          <w:szCs w:val="24"/>
        </w:rPr>
      </w:pPr>
      <w:r w:rsidRPr="00A76399">
        <w:rPr>
          <w:rFonts w:cs="Times New Roman"/>
          <w:b/>
          <w:bCs/>
          <w:szCs w:val="24"/>
        </w:rPr>
        <w:fldChar w:fldCharType="end"/>
      </w:r>
    </w:p>
    <w:sectPr w:rsidR="00841822" w:rsidRPr="00A76399" w:rsidSect="00447D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1440" w:bottom="99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839ED" w14:textId="77777777" w:rsidR="000B1F9F" w:rsidRDefault="000B1F9F" w:rsidP="00D733CF">
      <w:r>
        <w:separator/>
      </w:r>
    </w:p>
  </w:endnote>
  <w:endnote w:type="continuationSeparator" w:id="0">
    <w:p w14:paraId="13811183" w14:textId="77777777" w:rsidR="000B1F9F" w:rsidRDefault="000B1F9F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D2969" w14:textId="77777777" w:rsidR="00044162" w:rsidRDefault="00044162" w:rsidP="00CF023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8A5BF" w14:textId="77777777" w:rsidR="00044162" w:rsidRDefault="00044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66C1" w14:textId="77777777" w:rsidR="00044162" w:rsidRDefault="00044162" w:rsidP="00CF023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1C16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9E4C74" w14:textId="00EE39A2" w:rsidR="00335E8E" w:rsidRPr="00646209" w:rsidRDefault="00335E8E" w:rsidP="00AB72D9">
    <w:pPr>
      <w:pStyle w:val="Footer"/>
      <w:spacing w:after="0"/>
      <w:mirrorIndents/>
      <w:rPr>
        <w:sz w:val="36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F5DE2" w14:textId="07F4CA24" w:rsidR="00044162" w:rsidRDefault="00044162" w:rsidP="00044162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4C816" w14:textId="77777777" w:rsidR="000B1F9F" w:rsidRDefault="000B1F9F" w:rsidP="00D733CF">
      <w:r>
        <w:separator/>
      </w:r>
    </w:p>
  </w:footnote>
  <w:footnote w:type="continuationSeparator" w:id="0">
    <w:p w14:paraId="7E1F9567" w14:textId="77777777" w:rsidR="000B1F9F" w:rsidRDefault="000B1F9F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C15E6" w14:textId="77777777" w:rsidR="00AB72D9" w:rsidRDefault="00AB7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F3DB9" w14:textId="77777777" w:rsidR="00AB72D9" w:rsidRDefault="00AB7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2756DF32" w:rsidR="00335E8E" w:rsidRDefault="00044162" w:rsidP="00044162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332BC48" wp14:editId="03AB7C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30300"/>
          <wp:effectExtent l="0" t="0" r="0" b="0"/>
          <wp:wrapTight wrapText="bothSides">
            <wp:wrapPolygon edited="0">
              <wp:start x="1580" y="0"/>
              <wp:lineTo x="1293" y="243"/>
              <wp:lineTo x="335" y="3398"/>
              <wp:lineTo x="0" y="7524"/>
              <wp:lineTo x="0" y="13106"/>
              <wp:lineTo x="96" y="15533"/>
              <wp:lineTo x="718" y="19416"/>
              <wp:lineTo x="766" y="19658"/>
              <wp:lineTo x="1485" y="21357"/>
              <wp:lineTo x="1580" y="21357"/>
              <wp:lineTo x="2682" y="21357"/>
              <wp:lineTo x="2778" y="21357"/>
              <wp:lineTo x="3496" y="19658"/>
              <wp:lineTo x="3496" y="19416"/>
              <wp:lineTo x="21552" y="17717"/>
              <wp:lineTo x="21552" y="4369"/>
              <wp:lineTo x="3975" y="3155"/>
              <wp:lineTo x="3065" y="485"/>
              <wp:lineTo x="2682" y="0"/>
              <wp:lineTo x="1580" y="0"/>
            </wp:wrapPolygon>
          </wp:wrapTight>
          <wp:docPr id="2" name="Picture 2" descr="../../One-World-Connecte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One-World-Connecte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B9"/>
    <w:rsid w:val="000127FF"/>
    <w:rsid w:val="0001373B"/>
    <w:rsid w:val="0001651A"/>
    <w:rsid w:val="00020107"/>
    <w:rsid w:val="00020D86"/>
    <w:rsid w:val="00021183"/>
    <w:rsid w:val="00036756"/>
    <w:rsid w:val="00044162"/>
    <w:rsid w:val="00044378"/>
    <w:rsid w:val="00056256"/>
    <w:rsid w:val="00056561"/>
    <w:rsid w:val="00064898"/>
    <w:rsid w:val="0006710C"/>
    <w:rsid w:val="000815B5"/>
    <w:rsid w:val="00090FD0"/>
    <w:rsid w:val="000949C8"/>
    <w:rsid w:val="000A1820"/>
    <w:rsid w:val="000B1F9F"/>
    <w:rsid w:val="000B625F"/>
    <w:rsid w:val="000C1297"/>
    <w:rsid w:val="000C37D0"/>
    <w:rsid w:val="000C50A2"/>
    <w:rsid w:val="000D6F63"/>
    <w:rsid w:val="000E2B28"/>
    <w:rsid w:val="000E7657"/>
    <w:rsid w:val="000F515E"/>
    <w:rsid w:val="00111E59"/>
    <w:rsid w:val="00117D2D"/>
    <w:rsid w:val="001245A4"/>
    <w:rsid w:val="001246E4"/>
    <w:rsid w:val="00125EC5"/>
    <w:rsid w:val="00152D28"/>
    <w:rsid w:val="001569B3"/>
    <w:rsid w:val="0016070C"/>
    <w:rsid w:val="00183D67"/>
    <w:rsid w:val="0019020D"/>
    <w:rsid w:val="0019395C"/>
    <w:rsid w:val="00196961"/>
    <w:rsid w:val="001A00CF"/>
    <w:rsid w:val="001A2144"/>
    <w:rsid w:val="001B532E"/>
    <w:rsid w:val="001C0010"/>
    <w:rsid w:val="001C74BF"/>
    <w:rsid w:val="001D476E"/>
    <w:rsid w:val="001E2C3C"/>
    <w:rsid w:val="002026AD"/>
    <w:rsid w:val="00213EA3"/>
    <w:rsid w:val="00225828"/>
    <w:rsid w:val="00233122"/>
    <w:rsid w:val="0024158E"/>
    <w:rsid w:val="002429CF"/>
    <w:rsid w:val="00242BD6"/>
    <w:rsid w:val="00260336"/>
    <w:rsid w:val="002612C5"/>
    <w:rsid w:val="00263CC8"/>
    <w:rsid w:val="00273C3D"/>
    <w:rsid w:val="0028055F"/>
    <w:rsid w:val="00283653"/>
    <w:rsid w:val="00284554"/>
    <w:rsid w:val="00286CB9"/>
    <w:rsid w:val="002A5786"/>
    <w:rsid w:val="002B2BFE"/>
    <w:rsid w:val="002B36C8"/>
    <w:rsid w:val="002B55D2"/>
    <w:rsid w:val="002C0B07"/>
    <w:rsid w:val="002C5153"/>
    <w:rsid w:val="002C60F8"/>
    <w:rsid w:val="002C78A0"/>
    <w:rsid w:val="002D15BC"/>
    <w:rsid w:val="002D5221"/>
    <w:rsid w:val="002D5300"/>
    <w:rsid w:val="002E1BE9"/>
    <w:rsid w:val="003022E4"/>
    <w:rsid w:val="00302EDE"/>
    <w:rsid w:val="003033F9"/>
    <w:rsid w:val="00304BA9"/>
    <w:rsid w:val="00305166"/>
    <w:rsid w:val="0031042E"/>
    <w:rsid w:val="00310508"/>
    <w:rsid w:val="00322B44"/>
    <w:rsid w:val="00325562"/>
    <w:rsid w:val="00327122"/>
    <w:rsid w:val="00330489"/>
    <w:rsid w:val="003326D5"/>
    <w:rsid w:val="00334747"/>
    <w:rsid w:val="00335AF0"/>
    <w:rsid w:val="00335E8E"/>
    <w:rsid w:val="00336E0D"/>
    <w:rsid w:val="00337D6F"/>
    <w:rsid w:val="0036061C"/>
    <w:rsid w:val="0037517E"/>
    <w:rsid w:val="003779DB"/>
    <w:rsid w:val="00393E4D"/>
    <w:rsid w:val="003A1019"/>
    <w:rsid w:val="003A1A48"/>
    <w:rsid w:val="003A2456"/>
    <w:rsid w:val="003A7469"/>
    <w:rsid w:val="003B687F"/>
    <w:rsid w:val="003D00AE"/>
    <w:rsid w:val="003D19AD"/>
    <w:rsid w:val="003F192A"/>
    <w:rsid w:val="003F5DB0"/>
    <w:rsid w:val="003F6660"/>
    <w:rsid w:val="00400D62"/>
    <w:rsid w:val="004046F7"/>
    <w:rsid w:val="00404AA8"/>
    <w:rsid w:val="00415439"/>
    <w:rsid w:val="00423189"/>
    <w:rsid w:val="00423209"/>
    <w:rsid w:val="004328BF"/>
    <w:rsid w:val="00447D1F"/>
    <w:rsid w:val="00463909"/>
    <w:rsid w:val="004642E3"/>
    <w:rsid w:val="00471412"/>
    <w:rsid w:val="00475BD0"/>
    <w:rsid w:val="004A1C16"/>
    <w:rsid w:val="004A77E6"/>
    <w:rsid w:val="004A7D76"/>
    <w:rsid w:val="004B1CC2"/>
    <w:rsid w:val="004B273F"/>
    <w:rsid w:val="004B3C4C"/>
    <w:rsid w:val="004C4A6B"/>
    <w:rsid w:val="004D3992"/>
    <w:rsid w:val="004E797E"/>
    <w:rsid w:val="004E7E7D"/>
    <w:rsid w:val="004F48E1"/>
    <w:rsid w:val="00515373"/>
    <w:rsid w:val="0052368C"/>
    <w:rsid w:val="00530C24"/>
    <w:rsid w:val="0053150C"/>
    <w:rsid w:val="00550611"/>
    <w:rsid w:val="00551F16"/>
    <w:rsid w:val="00566496"/>
    <w:rsid w:val="00576942"/>
    <w:rsid w:val="00596FDA"/>
    <w:rsid w:val="005972A9"/>
    <w:rsid w:val="005A348D"/>
    <w:rsid w:val="005A3AEF"/>
    <w:rsid w:val="005A6892"/>
    <w:rsid w:val="005B25BE"/>
    <w:rsid w:val="005B397F"/>
    <w:rsid w:val="005C022D"/>
    <w:rsid w:val="005C2997"/>
    <w:rsid w:val="005C43E2"/>
    <w:rsid w:val="005D530D"/>
    <w:rsid w:val="00605A71"/>
    <w:rsid w:val="006101B5"/>
    <w:rsid w:val="00613FBA"/>
    <w:rsid w:val="0061646D"/>
    <w:rsid w:val="0063000A"/>
    <w:rsid w:val="00631C91"/>
    <w:rsid w:val="00646209"/>
    <w:rsid w:val="006468DF"/>
    <w:rsid w:val="00646D1B"/>
    <w:rsid w:val="00657F91"/>
    <w:rsid w:val="00661004"/>
    <w:rsid w:val="0066184A"/>
    <w:rsid w:val="00661C3B"/>
    <w:rsid w:val="00663C68"/>
    <w:rsid w:val="006664E5"/>
    <w:rsid w:val="00672730"/>
    <w:rsid w:val="00674DE1"/>
    <w:rsid w:val="00692C66"/>
    <w:rsid w:val="00696518"/>
    <w:rsid w:val="006C3E70"/>
    <w:rsid w:val="006D14DB"/>
    <w:rsid w:val="006E2904"/>
    <w:rsid w:val="006E35DB"/>
    <w:rsid w:val="006E3BAB"/>
    <w:rsid w:val="006E694E"/>
    <w:rsid w:val="006F4C3F"/>
    <w:rsid w:val="00700890"/>
    <w:rsid w:val="00700894"/>
    <w:rsid w:val="00707AB2"/>
    <w:rsid w:val="0071155C"/>
    <w:rsid w:val="007230D2"/>
    <w:rsid w:val="007314C2"/>
    <w:rsid w:val="007333E3"/>
    <w:rsid w:val="00747AE2"/>
    <w:rsid w:val="00753330"/>
    <w:rsid w:val="007571DA"/>
    <w:rsid w:val="00764AFC"/>
    <w:rsid w:val="007701E0"/>
    <w:rsid w:val="0078157F"/>
    <w:rsid w:val="00796E05"/>
    <w:rsid w:val="007A26A0"/>
    <w:rsid w:val="007A457F"/>
    <w:rsid w:val="007A4AD5"/>
    <w:rsid w:val="007C35E9"/>
    <w:rsid w:val="007E3CC2"/>
    <w:rsid w:val="007E4118"/>
    <w:rsid w:val="007F1DAE"/>
    <w:rsid w:val="0080684D"/>
    <w:rsid w:val="008300A2"/>
    <w:rsid w:val="0083193F"/>
    <w:rsid w:val="00832530"/>
    <w:rsid w:val="00841822"/>
    <w:rsid w:val="008431C6"/>
    <w:rsid w:val="00847FFE"/>
    <w:rsid w:val="008507F7"/>
    <w:rsid w:val="00861BD6"/>
    <w:rsid w:val="0086277C"/>
    <w:rsid w:val="00882888"/>
    <w:rsid w:val="00891A90"/>
    <w:rsid w:val="008A62FC"/>
    <w:rsid w:val="008B2B48"/>
    <w:rsid w:val="008D0796"/>
    <w:rsid w:val="008D4F90"/>
    <w:rsid w:val="008E07E2"/>
    <w:rsid w:val="008E169D"/>
    <w:rsid w:val="008E24B1"/>
    <w:rsid w:val="008E3BEA"/>
    <w:rsid w:val="008F17D0"/>
    <w:rsid w:val="008F23E4"/>
    <w:rsid w:val="008F452D"/>
    <w:rsid w:val="008F518F"/>
    <w:rsid w:val="008F6155"/>
    <w:rsid w:val="008F6A61"/>
    <w:rsid w:val="00906978"/>
    <w:rsid w:val="009104BD"/>
    <w:rsid w:val="00914C1D"/>
    <w:rsid w:val="00916B3D"/>
    <w:rsid w:val="00917DB4"/>
    <w:rsid w:val="00927A2A"/>
    <w:rsid w:val="009526E0"/>
    <w:rsid w:val="00955352"/>
    <w:rsid w:val="00963208"/>
    <w:rsid w:val="00963D1F"/>
    <w:rsid w:val="0096762B"/>
    <w:rsid w:val="009709E1"/>
    <w:rsid w:val="0099157E"/>
    <w:rsid w:val="009A5A6E"/>
    <w:rsid w:val="009A6F2C"/>
    <w:rsid w:val="009B41AE"/>
    <w:rsid w:val="009C0FCD"/>
    <w:rsid w:val="009C2836"/>
    <w:rsid w:val="009C3497"/>
    <w:rsid w:val="009E4104"/>
    <w:rsid w:val="009E433E"/>
    <w:rsid w:val="00A023B8"/>
    <w:rsid w:val="00A0495D"/>
    <w:rsid w:val="00A1709D"/>
    <w:rsid w:val="00A23F0C"/>
    <w:rsid w:val="00A24446"/>
    <w:rsid w:val="00A35CA2"/>
    <w:rsid w:val="00A42B76"/>
    <w:rsid w:val="00A436E0"/>
    <w:rsid w:val="00A43B9F"/>
    <w:rsid w:val="00A51FF9"/>
    <w:rsid w:val="00A74305"/>
    <w:rsid w:val="00A76399"/>
    <w:rsid w:val="00AA5BD6"/>
    <w:rsid w:val="00AA7D7E"/>
    <w:rsid w:val="00AB4B66"/>
    <w:rsid w:val="00AB72D9"/>
    <w:rsid w:val="00AC6F0B"/>
    <w:rsid w:val="00AE13DF"/>
    <w:rsid w:val="00AE1581"/>
    <w:rsid w:val="00AF5425"/>
    <w:rsid w:val="00AF64BF"/>
    <w:rsid w:val="00B102CB"/>
    <w:rsid w:val="00B1358F"/>
    <w:rsid w:val="00B231F7"/>
    <w:rsid w:val="00B24D06"/>
    <w:rsid w:val="00B40D70"/>
    <w:rsid w:val="00B433DD"/>
    <w:rsid w:val="00B53BC7"/>
    <w:rsid w:val="00B67A60"/>
    <w:rsid w:val="00B71B8A"/>
    <w:rsid w:val="00B77474"/>
    <w:rsid w:val="00B7789D"/>
    <w:rsid w:val="00B8526F"/>
    <w:rsid w:val="00B87191"/>
    <w:rsid w:val="00B941B9"/>
    <w:rsid w:val="00BB2014"/>
    <w:rsid w:val="00BC126C"/>
    <w:rsid w:val="00BE3C60"/>
    <w:rsid w:val="00BF52B9"/>
    <w:rsid w:val="00C03B55"/>
    <w:rsid w:val="00C05C42"/>
    <w:rsid w:val="00C0671D"/>
    <w:rsid w:val="00C318C2"/>
    <w:rsid w:val="00C401D9"/>
    <w:rsid w:val="00C45470"/>
    <w:rsid w:val="00C45A7B"/>
    <w:rsid w:val="00C5470C"/>
    <w:rsid w:val="00C56681"/>
    <w:rsid w:val="00C607FB"/>
    <w:rsid w:val="00C60AF5"/>
    <w:rsid w:val="00C84E7E"/>
    <w:rsid w:val="00CA1D89"/>
    <w:rsid w:val="00CA7420"/>
    <w:rsid w:val="00CB3FD0"/>
    <w:rsid w:val="00CB480C"/>
    <w:rsid w:val="00CB5A4F"/>
    <w:rsid w:val="00CB76A3"/>
    <w:rsid w:val="00CC76A6"/>
    <w:rsid w:val="00CC7AB2"/>
    <w:rsid w:val="00CD1BE9"/>
    <w:rsid w:val="00CD1F72"/>
    <w:rsid w:val="00CD24AB"/>
    <w:rsid w:val="00CE5DC9"/>
    <w:rsid w:val="00CE5E61"/>
    <w:rsid w:val="00D06F0D"/>
    <w:rsid w:val="00D15B20"/>
    <w:rsid w:val="00D30C5A"/>
    <w:rsid w:val="00D36B89"/>
    <w:rsid w:val="00D53C90"/>
    <w:rsid w:val="00D63EB7"/>
    <w:rsid w:val="00D67FE9"/>
    <w:rsid w:val="00D726BA"/>
    <w:rsid w:val="00D733CF"/>
    <w:rsid w:val="00D81E41"/>
    <w:rsid w:val="00D921A9"/>
    <w:rsid w:val="00D973D8"/>
    <w:rsid w:val="00DA5E7D"/>
    <w:rsid w:val="00DB7D50"/>
    <w:rsid w:val="00DC0ACB"/>
    <w:rsid w:val="00DD46B8"/>
    <w:rsid w:val="00DD7477"/>
    <w:rsid w:val="00DE6B1F"/>
    <w:rsid w:val="00DF4B6F"/>
    <w:rsid w:val="00DF4F89"/>
    <w:rsid w:val="00E12846"/>
    <w:rsid w:val="00E17187"/>
    <w:rsid w:val="00E230DC"/>
    <w:rsid w:val="00E23C9F"/>
    <w:rsid w:val="00E336F4"/>
    <w:rsid w:val="00E42681"/>
    <w:rsid w:val="00E431D1"/>
    <w:rsid w:val="00E4415D"/>
    <w:rsid w:val="00E627C5"/>
    <w:rsid w:val="00E75294"/>
    <w:rsid w:val="00E83FCE"/>
    <w:rsid w:val="00E96CB1"/>
    <w:rsid w:val="00EA1814"/>
    <w:rsid w:val="00EA7B65"/>
    <w:rsid w:val="00EB5CC2"/>
    <w:rsid w:val="00EB6C22"/>
    <w:rsid w:val="00ED1572"/>
    <w:rsid w:val="00ED3581"/>
    <w:rsid w:val="00EE1E6E"/>
    <w:rsid w:val="00EF3E28"/>
    <w:rsid w:val="00EF6A90"/>
    <w:rsid w:val="00EF7C60"/>
    <w:rsid w:val="00F0733E"/>
    <w:rsid w:val="00F153A8"/>
    <w:rsid w:val="00F23AEB"/>
    <w:rsid w:val="00F4354F"/>
    <w:rsid w:val="00F51C1D"/>
    <w:rsid w:val="00F6004F"/>
    <w:rsid w:val="00F70822"/>
    <w:rsid w:val="00F754C4"/>
    <w:rsid w:val="00F76AB8"/>
    <w:rsid w:val="00F77933"/>
    <w:rsid w:val="00F822EA"/>
    <w:rsid w:val="00F92A61"/>
    <w:rsid w:val="00F943E5"/>
    <w:rsid w:val="00F9780F"/>
    <w:rsid w:val="00FA0094"/>
    <w:rsid w:val="00FA13DD"/>
    <w:rsid w:val="00FA632D"/>
    <w:rsid w:val="00FB405F"/>
    <w:rsid w:val="00FC20B8"/>
    <w:rsid w:val="00FD4CA1"/>
    <w:rsid w:val="00FD5725"/>
    <w:rsid w:val="00FD6DED"/>
    <w:rsid w:val="00FE445A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6D5"/>
    <w:pPr>
      <w:spacing w:after="120"/>
      <w:jc w:val="both"/>
    </w:pPr>
    <w:rPr>
      <w:rFonts w:ascii="Times New Roman" w:eastAsiaTheme="minorEastAsia" w:hAnsi="Times New Roman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26D5"/>
    <w:pPr>
      <w:keepNext/>
      <w:keepLines/>
      <w:pBdr>
        <w:bottom w:val="single" w:sz="4" w:space="1" w:color="595959" w:themeColor="text1" w:themeTint="A6"/>
      </w:pBdr>
      <w:spacing w:before="360"/>
      <w:contextualSpacing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8F6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155"/>
    <w:rPr>
      <w:rFonts w:ascii="Times New Roman" w:eastAsiaTheme="minorEastAsia" w:hAnsi="Times New Roman"/>
      <w:szCs w:val="22"/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72D9"/>
    <w:pPr>
      <w:spacing w:after="0"/>
      <w:contextualSpacing/>
      <w:jc w:val="center"/>
    </w:pPr>
    <w:rPr>
      <w:rFonts w:ascii="Palatino Linotype" w:eastAsiaTheme="majorEastAsia" w:hAnsi="Palatino Linotype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D9"/>
    <w:rPr>
      <w:rFonts w:ascii="Palatino Linotype" w:eastAsiaTheme="majorEastAsia" w:hAnsi="Palatino Linotype" w:cstheme="majorBidi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F6155"/>
    <w:pPr>
      <w:numPr>
        <w:ilvl w:val="1"/>
      </w:numPr>
      <w:jc w:val="center"/>
    </w:pPr>
    <w:rPr>
      <w:rFonts w:ascii="Calibri Light" w:hAnsi="Calibri Light"/>
      <w:spacing w:val="1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26D5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/>
      <w:ind w:left="720"/>
      <w:contextualSpacing/>
    </w:pPr>
    <w:rPr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F6155"/>
    <w:rPr>
      <w:rFonts w:ascii="Calibri Light" w:eastAsiaTheme="minorEastAsia" w:hAnsi="Calibri Light"/>
      <w:spacing w:val="15"/>
      <w:sz w:val="36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D3581"/>
    <w:rPr>
      <w:color w:val="954F72" w:themeColor="followedHyperlink"/>
      <w:u w:val="single"/>
    </w:rPr>
  </w:style>
  <w:style w:type="table" w:customStyle="1" w:styleId="GridTable6Colorful20">
    <w:name w:val="Grid Table 6 Colorful2"/>
    <w:basedOn w:val="TableNormal"/>
    <w:uiPriority w:val="51"/>
    <w:rsid w:val="00707AB2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2B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BD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BD6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B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BD6"/>
    <w:rPr>
      <w:rFonts w:eastAsiaTheme="minorEastAsia"/>
      <w:b/>
      <w:bCs/>
      <w:sz w:val="20"/>
      <w:szCs w:val="20"/>
      <w:lang w:eastAsia="ja-JP"/>
    </w:rPr>
  </w:style>
  <w:style w:type="paragraph" w:customStyle="1" w:styleId="LO-normal">
    <w:name w:val="LO-normal"/>
    <w:qFormat/>
    <w:rsid w:val="007E3CC2"/>
    <w:rPr>
      <w:rFonts w:ascii="Calibri" w:eastAsia="Calibri" w:hAnsi="Calibri" w:cs="Calibri"/>
      <w:color w:val="000000"/>
      <w:sz w:val="22"/>
      <w:szCs w:val="22"/>
    </w:rPr>
  </w:style>
  <w:style w:type="paragraph" w:styleId="NoSpacing">
    <w:name w:val="No Spacing"/>
    <w:uiPriority w:val="1"/>
    <w:qFormat/>
    <w:rsid w:val="0096762B"/>
    <w:rPr>
      <w:rFonts w:eastAsiaTheme="minorEastAsia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8D0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7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Mur15</b:Tag>
    <b:SourceType>JournalArticle</b:SourceType>
    <b:Guid>{CBA7D08D-D215-174C-A6F1-36B3F97AFB00}</b:Guid>
    <b:Title>Long-Distance Telecommunication in Remote Poor Areas: From Partnerships and Implementation to Sustainability</b:Title>
    <b:Year>2015</b:Year>
    <b:Month>March</b:Month>
    <b:Day>23</b:Day>
    <b:Author>
      <b:Author>
        <b:NameList>
          <b:Person>
            <b:Last>Murillo</b:Last>
            <b:Middle>J.</b:Middle>
            <b:First>Martin</b:First>
          </b:Person>
          <b:Person>
            <b:Last>Paco</b:Last>
            <b:Middle>A.</b:Middle>
            <b:First>Juan</b:First>
          </b:Person>
          <b:Person>
            <b:Last>Wright</b:Last>
            <b:First>David</b:First>
          </b:Person>
        </b:NameList>
      </b:Author>
    </b:Author>
    <b:JournalName>IEEE Technology and Society Magazine</b:JournalName>
    <b:Publisher>IEEE</b:Publisher>
    <b:RefOrder>1</b:RefOrder>
  </b:Source>
</b:Sources>
</file>

<file path=customXml/itemProps1.xml><?xml version="1.0" encoding="utf-8"?>
<ds:datastoreItem xmlns:ds="http://schemas.openxmlformats.org/officeDocument/2006/customXml" ds:itemID="{C78C774A-BA2E-DF44-B892-4FB62D40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4</cp:revision>
  <cp:lastPrinted>2016-10-19T17:29:00Z</cp:lastPrinted>
  <dcterms:created xsi:type="dcterms:W3CDTF">2018-01-19T16:01:00Z</dcterms:created>
  <dcterms:modified xsi:type="dcterms:W3CDTF">2018-02-02T20:07:00Z</dcterms:modified>
</cp:coreProperties>
</file>