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44FC" w14:textId="3F7BE283" w:rsidR="0056611D" w:rsidRPr="00CF665D" w:rsidRDefault="00B42D35" w:rsidP="00F17993">
      <w:pPr>
        <w:pStyle w:val="Title"/>
      </w:pPr>
      <w:r w:rsidRPr="00CF665D">
        <w:t>CONNECT WITH AXIOM</w:t>
      </w:r>
    </w:p>
    <w:p w14:paraId="0F68519B" w14:textId="35864436" w:rsidR="00A25EC2" w:rsidRPr="00CF665D" w:rsidRDefault="0001373B" w:rsidP="008404E9">
      <w:pPr>
        <w:pStyle w:val="Subtitle"/>
        <w:contextualSpacing/>
        <w:rPr>
          <w:rFonts w:asciiTheme="majorHAnsi" w:hAnsiTheme="majorHAnsi"/>
        </w:rPr>
      </w:pPr>
      <w:r w:rsidRPr="00CF665D">
        <w:rPr>
          <w:rFonts w:asciiTheme="majorHAnsi" w:hAnsiTheme="majorHAnsi"/>
        </w:rPr>
        <w:t>C</w:t>
      </w:r>
      <w:r w:rsidR="00F17993">
        <w:rPr>
          <w:rFonts w:asciiTheme="majorHAnsi" w:hAnsiTheme="majorHAnsi"/>
        </w:rPr>
        <w:t>ONNECTING</w:t>
      </w:r>
      <w:r w:rsidR="00022CCE" w:rsidRPr="00CF665D">
        <w:rPr>
          <w:rFonts w:asciiTheme="majorHAnsi" w:hAnsiTheme="majorHAnsi"/>
        </w:rPr>
        <w:t xml:space="preserve"> COMMUNITIES </w:t>
      </w:r>
      <w:r w:rsidR="00126ED9" w:rsidRPr="00CF665D">
        <w:rPr>
          <w:rFonts w:asciiTheme="majorHAnsi" w:hAnsiTheme="majorHAnsi"/>
        </w:rPr>
        <w:t xml:space="preserve">USING </w:t>
      </w:r>
      <w:r w:rsidR="00022CCE" w:rsidRPr="00CF665D">
        <w:rPr>
          <w:rFonts w:asciiTheme="majorHAnsi" w:hAnsiTheme="majorHAnsi"/>
        </w:rPr>
        <w:t>TV WHITE SPACE</w:t>
      </w:r>
      <w:r w:rsidR="00F17993">
        <w:rPr>
          <w:rFonts w:asciiTheme="majorHAnsi" w:hAnsiTheme="majorHAnsi"/>
        </w:rPr>
        <w:t>S</w:t>
      </w:r>
      <w:r w:rsidR="00022CCE" w:rsidRPr="00CF665D">
        <w:rPr>
          <w:rFonts w:asciiTheme="majorHAnsi" w:hAnsiTheme="majorHAnsi"/>
        </w:rPr>
        <w:t xml:space="preserve"> </w:t>
      </w:r>
    </w:p>
    <w:p w14:paraId="0AA356AD" w14:textId="6231110F" w:rsidR="00022CCE" w:rsidRPr="00CF665D" w:rsidRDefault="00022CCE" w:rsidP="008404E9">
      <w:pPr>
        <w:pStyle w:val="Subtitle"/>
        <w:contextualSpacing/>
        <w:rPr>
          <w:rFonts w:asciiTheme="majorHAnsi" w:hAnsiTheme="majorHAnsi"/>
        </w:rPr>
      </w:pPr>
      <w:r w:rsidRPr="00CF665D">
        <w:rPr>
          <w:rFonts w:asciiTheme="majorHAnsi" w:hAnsiTheme="majorHAnsi"/>
        </w:rPr>
        <w:t>IN RURAL MAINE</w:t>
      </w:r>
    </w:p>
    <w:p w14:paraId="432B4639" w14:textId="00AF15BC" w:rsidR="0056611D" w:rsidRPr="00CF665D" w:rsidRDefault="00126ED9" w:rsidP="008404E9">
      <w:pPr>
        <w:jc w:val="center"/>
      </w:pPr>
      <w:r w:rsidRPr="00CF665D">
        <w:rPr>
          <w:noProof/>
          <w:lang w:eastAsia="en-US"/>
        </w:rPr>
        <w:drawing>
          <wp:inline distT="0" distB="0" distL="0" distR="0" wp14:anchorId="06E09805" wp14:editId="0DD445C3">
            <wp:extent cx="5727700" cy="2066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4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CCE" w:rsidRPr="00CF665D">
        <w:rPr>
          <w:rStyle w:val="SubtleEmphasis"/>
        </w:rPr>
        <w:t xml:space="preserve">Communities served by Axiom. </w:t>
      </w:r>
      <w:r w:rsidR="006E694E" w:rsidRPr="00CF665D">
        <w:rPr>
          <w:rStyle w:val="SubtleEmphasis"/>
        </w:rPr>
        <w:t xml:space="preserve">Photo </w:t>
      </w:r>
      <w:r w:rsidR="0031042E" w:rsidRPr="00CF665D">
        <w:rPr>
          <w:rStyle w:val="SubtleEmphasis"/>
        </w:rPr>
        <w:t>credit</w:t>
      </w:r>
      <w:r w:rsidR="00C74DB6" w:rsidRPr="00CF665D">
        <w:rPr>
          <w:rStyle w:val="SubtleEmphasis"/>
        </w:rPr>
        <w:t>:</w:t>
      </w:r>
      <w:r w:rsidR="006E694E" w:rsidRPr="00CF665D">
        <w:rPr>
          <w:rStyle w:val="SubtleEmphasis"/>
        </w:rPr>
        <w:t xml:space="preserve"> </w:t>
      </w:r>
      <w:r w:rsidR="00573584" w:rsidRPr="00CF665D">
        <w:rPr>
          <w:rStyle w:val="SubtleEmphasis"/>
        </w:rPr>
        <w:t>Axiom</w:t>
      </w:r>
    </w:p>
    <w:p w14:paraId="6E31C7E7" w14:textId="71D978B4" w:rsidR="0056611D" w:rsidRPr="00CF665D" w:rsidRDefault="00286CB9" w:rsidP="00F17993">
      <w:pPr>
        <w:pStyle w:val="Heading1"/>
      </w:pPr>
      <w:r w:rsidRPr="00CF665D">
        <w:t xml:space="preserve">Executive Summary </w:t>
      </w:r>
    </w:p>
    <w:p w14:paraId="557CFF93" w14:textId="2141F0D3" w:rsidR="0066114C" w:rsidRPr="00CF665D" w:rsidRDefault="00093C1C" w:rsidP="008404E9">
      <w:r w:rsidRPr="00CF665D">
        <w:t xml:space="preserve">Axiom </w:t>
      </w:r>
      <w:r w:rsidR="0048408C" w:rsidRPr="00CF665D">
        <w:t xml:space="preserve">is a small </w:t>
      </w:r>
      <w:r w:rsidR="005626B4" w:rsidRPr="00CF665D">
        <w:t>ISP</w:t>
      </w:r>
      <w:r w:rsidR="0048408C" w:rsidRPr="00CF665D">
        <w:t xml:space="preserve"> in rural Maine</w:t>
      </w:r>
      <w:r w:rsidR="009A0767" w:rsidRPr="00CF665D">
        <w:t xml:space="preserve">, </w:t>
      </w:r>
      <w:r w:rsidR="00D032FC" w:rsidRPr="00CF665D">
        <w:t>United States</w:t>
      </w:r>
      <w:r w:rsidR="00F91295" w:rsidRPr="00CF665D">
        <w:t>,</w:t>
      </w:r>
      <w:r w:rsidR="00B42D35" w:rsidRPr="00CF665D">
        <w:t xml:space="preserve"> </w:t>
      </w:r>
      <w:r w:rsidR="00F91295" w:rsidRPr="00CF665D">
        <w:t>which</w:t>
      </w:r>
      <w:r w:rsidR="00B42D35" w:rsidRPr="00CF665D">
        <w:t xml:space="preserve"> serves</w:t>
      </w:r>
      <w:r w:rsidR="009A0767" w:rsidRPr="00CF665D">
        <w:t xml:space="preserve"> around 1,200 customers. Axiom</w:t>
      </w:r>
      <w:r w:rsidR="0048408C" w:rsidRPr="00CF665D">
        <w:t xml:space="preserve"> is a hybrid of for-profit and non-profit</w:t>
      </w:r>
      <w:r w:rsidR="00022CCE" w:rsidRPr="00CF665D">
        <w:t xml:space="preserve"> entities. The for-profit arm</w:t>
      </w:r>
      <w:r w:rsidR="0048408C" w:rsidRPr="00CF665D">
        <w:t xml:space="preserve"> </w:t>
      </w:r>
      <w:r w:rsidR="00022CCE" w:rsidRPr="00CF665D">
        <w:t xml:space="preserve">builds </w:t>
      </w:r>
      <w:r w:rsidR="0048408C" w:rsidRPr="00CF665D">
        <w:t>connect</w:t>
      </w:r>
      <w:r w:rsidR="00022CCE" w:rsidRPr="00CF665D">
        <w:t>ivity infrastructure and sells</w:t>
      </w:r>
      <w:r w:rsidR="0048408C" w:rsidRPr="00CF665D">
        <w:t xml:space="preserve"> Internet services in rural, remote, and sparsely populated regions of M</w:t>
      </w:r>
      <w:r w:rsidR="00022CCE" w:rsidRPr="00CF665D">
        <w:t>aine. The non-profit arm</w:t>
      </w:r>
      <w:r w:rsidR="0048408C" w:rsidRPr="00CF665D">
        <w:t xml:space="preserve">, Axiom Education and Training Center, provides mandatory but free digital literacy and inclusion training programs. </w:t>
      </w:r>
      <w:r w:rsidR="00022CCE" w:rsidRPr="00CF665D">
        <w:t>Axiom leverages grants and subsidies, offers</w:t>
      </w:r>
      <w:r w:rsidR="009A0767" w:rsidRPr="00CF665D">
        <w:t xml:space="preserve"> </w:t>
      </w:r>
      <w:r w:rsidR="0048408C" w:rsidRPr="00CF665D">
        <w:t xml:space="preserve">connectivity at </w:t>
      </w:r>
      <w:r w:rsidR="00022CCE" w:rsidRPr="00CF665D">
        <w:t>affordable prices through innovative technologies, and ensures</w:t>
      </w:r>
      <w:r w:rsidR="009A0767" w:rsidRPr="00CF665D">
        <w:t xml:space="preserve"> that users have the skills and knowledge to eff</w:t>
      </w:r>
      <w:r w:rsidR="00022CCE" w:rsidRPr="00CF665D">
        <w:t xml:space="preserve">ectively use their connections to form </w:t>
      </w:r>
      <w:r w:rsidR="009A0767" w:rsidRPr="00CF665D">
        <w:t>sustainable networks in difficult geographi</w:t>
      </w:r>
      <w:r w:rsidR="00022CCE" w:rsidRPr="00CF665D">
        <w:t>c, social, and economic conditions</w:t>
      </w:r>
      <w:r w:rsidR="009A0767" w:rsidRPr="00CF665D">
        <w:t xml:space="preserve">. </w:t>
      </w:r>
    </w:p>
    <w:p w14:paraId="4AC97C52" w14:textId="77777777" w:rsidR="0056611D" w:rsidRPr="00CF665D" w:rsidRDefault="0056611D" w:rsidP="008404E9"/>
    <w:p w14:paraId="04908095" w14:textId="0DF8532D" w:rsidR="007F0B48" w:rsidRPr="00CF665D" w:rsidRDefault="007F0B48" w:rsidP="008404E9">
      <w:pPr>
        <w:rPr>
          <w:rStyle w:val="SubtleEmphasis"/>
        </w:rPr>
      </w:pPr>
      <w:r w:rsidRPr="00CF665D">
        <w:rPr>
          <w:rStyle w:val="SubtleEmphasis"/>
        </w:rPr>
        <w:t xml:space="preserve">Keywords: </w:t>
      </w:r>
      <w:r w:rsidR="00022CCE" w:rsidRPr="00CF665D">
        <w:rPr>
          <w:rStyle w:val="SubtleEmphasis"/>
        </w:rPr>
        <w:t>TV white spaces,</w:t>
      </w:r>
      <w:r w:rsidR="00A750E9" w:rsidRPr="00CF665D">
        <w:rPr>
          <w:rStyle w:val="SubtleEmphasis"/>
        </w:rPr>
        <w:t xml:space="preserve"> digital literacy</w:t>
      </w:r>
      <w:r w:rsidRPr="00CF665D">
        <w:rPr>
          <w:rStyle w:val="SubtleEmphasis"/>
        </w:rPr>
        <w:t>,</w:t>
      </w:r>
      <w:r w:rsidR="00022CCE" w:rsidRPr="00CF665D">
        <w:rPr>
          <w:rStyle w:val="SubtleEmphasis"/>
        </w:rPr>
        <w:t xml:space="preserve"> rural connectivity</w:t>
      </w:r>
      <w:r w:rsidRPr="00CF665D">
        <w:rPr>
          <w:rStyle w:val="SubtleEmphasis"/>
        </w:rPr>
        <w:t xml:space="preserve"> </w:t>
      </w:r>
    </w:p>
    <w:p w14:paraId="68FADBB9" w14:textId="51E9C24F" w:rsidR="00C45A7B" w:rsidRPr="00CF665D" w:rsidRDefault="00680499" w:rsidP="00F17993">
      <w:pPr>
        <w:pStyle w:val="Heading1"/>
      </w:pPr>
      <w:r w:rsidRPr="00CF665D">
        <w:br w:type="page"/>
      </w:r>
      <w:r w:rsidR="00106322" w:rsidRPr="00CF665D">
        <w:lastRenderedPageBreak/>
        <w:t>Context</w:t>
      </w:r>
    </w:p>
    <w:p w14:paraId="1F46FF4C" w14:textId="6054467B" w:rsidR="00FC734B" w:rsidRPr="00CF665D" w:rsidRDefault="003E76F2" w:rsidP="008404E9">
      <w:r w:rsidRPr="00CF665D">
        <w:t xml:space="preserve">Broadband access at acceptable speeds in </w:t>
      </w:r>
      <w:r w:rsidR="00670F47" w:rsidRPr="00CF665D">
        <w:t>the U</w:t>
      </w:r>
      <w:r w:rsidR="00A7785E" w:rsidRPr="00CF665D">
        <w:t xml:space="preserve">nited </w:t>
      </w:r>
      <w:r w:rsidR="00670F47" w:rsidRPr="00CF665D">
        <w:t>S</w:t>
      </w:r>
      <w:r w:rsidR="00A7785E" w:rsidRPr="00CF665D">
        <w:t>tates</w:t>
      </w:r>
      <w:r w:rsidRPr="00CF665D">
        <w:t xml:space="preserve"> </w:t>
      </w:r>
      <w:r w:rsidR="00A7785E" w:rsidRPr="00CF665D">
        <w:t xml:space="preserve">experiences a substantial </w:t>
      </w:r>
      <w:r w:rsidRPr="00CF665D">
        <w:t>urban/rural divide</w:t>
      </w:r>
      <w:r w:rsidR="003C45CF" w:rsidRPr="00CF665D">
        <w:t xml:space="preserve">. </w:t>
      </w:r>
      <w:r w:rsidR="00EF5353" w:rsidRPr="00CF665D">
        <w:t>The Federal Communication Commission defines acceptable speed as a minimum of 25 megabits per second</w:t>
      </w:r>
      <w:r w:rsidR="00B42D35" w:rsidRPr="00CF665D">
        <w:t xml:space="preserve"> (Mbps) download speeds and 3 M</w:t>
      </w:r>
      <w:r w:rsidR="00EF5353" w:rsidRPr="00CF665D">
        <w:t xml:space="preserve">bps upload speeds. </w:t>
      </w:r>
      <w:r w:rsidR="003C45CF" w:rsidRPr="00CF665D">
        <w:t xml:space="preserve">Despite efforts by the government and private interests to close </w:t>
      </w:r>
      <w:r w:rsidR="00692B74" w:rsidRPr="00CF665D">
        <w:t>this</w:t>
      </w:r>
      <w:r w:rsidR="003C45CF" w:rsidRPr="00CF665D">
        <w:t xml:space="preserve"> divide, </w:t>
      </w:r>
      <w:r w:rsidR="00B74C56" w:rsidRPr="00CF665D">
        <w:t>35 percent of people in rura</w:t>
      </w:r>
      <w:r w:rsidR="00EE0222" w:rsidRPr="00CF665D">
        <w:t xml:space="preserve">l areas have </w:t>
      </w:r>
      <w:r w:rsidR="00251319" w:rsidRPr="00CF665D">
        <w:t xml:space="preserve">no Internet access, which is nearly </w:t>
      </w:r>
      <w:r w:rsidR="00EE0222" w:rsidRPr="00CF665D">
        <w:t>22 million Americans.</w:t>
      </w:r>
      <w:r w:rsidR="00FE6CCD" w:rsidRPr="00CF665D">
        <w:t xml:space="preserve"> </w:t>
      </w:r>
      <w:r w:rsidR="00784CB6" w:rsidRPr="00CF665D">
        <w:t>Fiber-optic cable installation costs</w:t>
      </w:r>
      <w:r w:rsidR="00B42D35" w:rsidRPr="00CF665D">
        <w:t xml:space="preserve"> about US$ </w:t>
      </w:r>
      <w:r w:rsidR="00784CB6" w:rsidRPr="00CF665D">
        <w:t>30,000 a mile, which is financially unfeasible f</w:t>
      </w:r>
      <w:r w:rsidR="001377A3" w:rsidRPr="00CF665D">
        <w:t>or sparsely populated regions</w:t>
      </w:r>
      <w:r w:rsidR="00784CB6" w:rsidRPr="00CF665D">
        <w:t xml:space="preserve">. </w:t>
      </w:r>
      <w:r w:rsidR="006C61DE" w:rsidRPr="00CF665D">
        <w:t xml:space="preserve">Those areas </w:t>
      </w:r>
      <w:r w:rsidR="00784CB6" w:rsidRPr="00CF665D">
        <w:t>are instead served by existi</w:t>
      </w:r>
      <w:r w:rsidR="00B42D35" w:rsidRPr="00CF665D">
        <w:t>ng copper lines, which are</w:t>
      </w:r>
      <w:r w:rsidR="00784CB6" w:rsidRPr="00CF665D">
        <w:t xml:space="preserve"> too weak to deliver high-speed data. </w:t>
      </w:r>
    </w:p>
    <w:p w14:paraId="6619024B" w14:textId="1C20B926" w:rsidR="0066114C" w:rsidRPr="00CF665D" w:rsidRDefault="00034935" w:rsidP="008404E9">
      <w:r w:rsidRPr="00CF665D">
        <w:t>Among these</w:t>
      </w:r>
      <w:r w:rsidR="00CF2951" w:rsidRPr="00CF665D">
        <w:t xml:space="preserve"> </w:t>
      </w:r>
      <w:r w:rsidR="0069374A" w:rsidRPr="00CF665D">
        <w:t xml:space="preserve">unconnected </w:t>
      </w:r>
      <w:r w:rsidR="00CF2951" w:rsidRPr="00CF665D">
        <w:t xml:space="preserve">areas is </w:t>
      </w:r>
      <w:r w:rsidRPr="00CF665D">
        <w:t xml:space="preserve">rural </w:t>
      </w:r>
      <w:r w:rsidR="00CF2951" w:rsidRPr="00CF665D">
        <w:t>Maine</w:t>
      </w:r>
      <w:r w:rsidRPr="00CF665D">
        <w:t xml:space="preserve">, where </w:t>
      </w:r>
      <w:r w:rsidR="00F51A65" w:rsidRPr="00CF665D">
        <w:t>20,000</w:t>
      </w:r>
      <w:r w:rsidRPr="00CF665D">
        <w:t xml:space="preserve"> households lack I</w:t>
      </w:r>
      <w:r w:rsidR="00251319" w:rsidRPr="00CF665D">
        <w:t>nternet service completely, and</w:t>
      </w:r>
      <w:r w:rsidR="003C45CF" w:rsidRPr="00CF665D">
        <w:t xml:space="preserve"> a considerable </w:t>
      </w:r>
      <w:r w:rsidRPr="00CF665D">
        <w:t>amount</w:t>
      </w:r>
      <w:r w:rsidR="005954EA" w:rsidRPr="00CF665D">
        <w:t xml:space="preserve"> </w:t>
      </w:r>
      <w:r w:rsidR="00251319" w:rsidRPr="00CF665D">
        <w:t>remain</w:t>
      </w:r>
      <w:r w:rsidR="00E5149A" w:rsidRPr="00CF665D">
        <w:t xml:space="preserve"> underserved. </w:t>
      </w:r>
      <w:r w:rsidR="003C45CF" w:rsidRPr="00CF665D">
        <w:t xml:space="preserve">The majority of Maine counties </w:t>
      </w:r>
      <w:r w:rsidR="00E5149A" w:rsidRPr="00CF665D">
        <w:t>have</w:t>
      </w:r>
      <w:r w:rsidR="003C45CF" w:rsidRPr="00CF665D">
        <w:t xml:space="preserve"> download speeds between 7.3-10.9</w:t>
      </w:r>
      <w:r w:rsidR="00B42D35" w:rsidRPr="00CF665D">
        <w:t xml:space="preserve"> Mbps</w:t>
      </w:r>
      <w:r w:rsidR="003C45CF" w:rsidRPr="00CF665D">
        <w:t>, 40-60</w:t>
      </w:r>
      <w:r w:rsidR="00680499" w:rsidRPr="00CF665D">
        <w:t xml:space="preserve"> percent</w:t>
      </w:r>
      <w:r w:rsidR="003C45CF" w:rsidRPr="00CF665D">
        <w:t xml:space="preserve"> below the national average of 18.2 Mbps.</w:t>
      </w:r>
      <w:r w:rsidR="005954EA" w:rsidRPr="00CF665D">
        <w:t xml:space="preserve"> </w:t>
      </w:r>
      <w:r w:rsidR="00933796" w:rsidRPr="00CF665D">
        <w:t xml:space="preserve">Some of </w:t>
      </w:r>
      <w:r w:rsidR="005954EA" w:rsidRPr="00CF665D">
        <w:t xml:space="preserve">the reasons for </w:t>
      </w:r>
      <w:r w:rsidR="00A648DA" w:rsidRPr="00CF665D">
        <w:t xml:space="preserve">Maine’s weak broadband infrastructure are </w:t>
      </w:r>
      <w:r w:rsidR="00B42D35" w:rsidRPr="00CF665D">
        <w:t xml:space="preserve">a </w:t>
      </w:r>
      <w:r w:rsidR="00751268" w:rsidRPr="00CF665D">
        <w:t xml:space="preserve">high percentage of </w:t>
      </w:r>
      <w:r w:rsidR="00933796" w:rsidRPr="00CF665D">
        <w:t>rural area</w:t>
      </w:r>
      <w:r w:rsidR="00B42D35" w:rsidRPr="00CF665D">
        <w:t>s</w:t>
      </w:r>
      <w:r w:rsidR="00933796" w:rsidRPr="00CF665D">
        <w:t xml:space="preserve"> in the state, </w:t>
      </w:r>
      <w:r w:rsidR="00A648DA" w:rsidRPr="00CF665D">
        <w:t xml:space="preserve">lack of tax incentives for network improvement, an aging population, and an inadequate understanding of the benefits of high-speed Internet access. </w:t>
      </w:r>
      <w:r w:rsidR="00664CDC" w:rsidRPr="00CF665D">
        <w:t>Also, u</w:t>
      </w:r>
      <w:r w:rsidR="00A648DA" w:rsidRPr="00CF665D">
        <w:t xml:space="preserve">nlike many other </w:t>
      </w:r>
      <w:r w:rsidR="00664CDC" w:rsidRPr="00CF665D">
        <w:t xml:space="preserve">U.S. </w:t>
      </w:r>
      <w:r w:rsidR="00A648DA" w:rsidRPr="00CF665D">
        <w:t xml:space="preserve">states, </w:t>
      </w:r>
      <w:r w:rsidR="00664CDC" w:rsidRPr="00CF665D">
        <w:t xml:space="preserve">Maine </w:t>
      </w:r>
      <w:r w:rsidR="00A648DA" w:rsidRPr="00CF665D">
        <w:t>does not of</w:t>
      </w:r>
      <w:r w:rsidR="002B5BF5" w:rsidRPr="00CF665D">
        <w:t xml:space="preserve">fer tax breaks </w:t>
      </w:r>
      <w:r w:rsidR="00A648DA" w:rsidRPr="00CF665D">
        <w:t>or subsidies for network improvement in market failure areas.</w:t>
      </w:r>
    </w:p>
    <w:p w14:paraId="747DFF44" w14:textId="77777777" w:rsidR="00E80E1F" w:rsidRPr="00CF665D" w:rsidRDefault="00E80E1F" w:rsidP="008404E9"/>
    <w:tbl>
      <w:tblPr>
        <w:tblStyle w:val="TableGrid"/>
        <w:tblW w:w="0" w:type="auto"/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  <w:gridCol w:w="1621"/>
        <w:gridCol w:w="2699"/>
        <w:gridCol w:w="1815"/>
      </w:tblGrid>
      <w:tr w:rsidR="00CF665D" w:rsidRPr="00CF665D" w14:paraId="21DEAB89" w14:textId="77777777" w:rsidTr="0084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9010" w:type="dxa"/>
            <w:gridSpan w:val="4"/>
            <w:vAlign w:val="center"/>
          </w:tcPr>
          <w:p w14:paraId="68D72CCD" w14:textId="6728963F" w:rsidR="00193A85" w:rsidRPr="00CF665D" w:rsidRDefault="006378CC" w:rsidP="008404E9">
            <w:pPr>
              <w:spacing w:before="0" w:after="0"/>
              <w:jc w:val="center"/>
              <w:rPr>
                <w:b/>
                <w:lang w:eastAsia="en-US"/>
              </w:rPr>
            </w:pPr>
            <w:r w:rsidRPr="00CF665D">
              <w:rPr>
                <w:b/>
                <w:lang w:eastAsia="en-US"/>
              </w:rPr>
              <w:t>U</w:t>
            </w:r>
            <w:r w:rsidR="00022CCE" w:rsidRPr="00CF665D">
              <w:rPr>
                <w:b/>
                <w:lang w:eastAsia="en-US"/>
              </w:rPr>
              <w:t>nited States</w:t>
            </w:r>
          </w:p>
        </w:tc>
      </w:tr>
      <w:tr w:rsidR="00CF665D" w:rsidRPr="00CF665D" w14:paraId="70F24442" w14:textId="77777777" w:rsidTr="00F17993">
        <w:trPr>
          <w:trHeight w:val="20"/>
        </w:trPr>
        <w:tc>
          <w:tcPr>
            <w:tcW w:w="2875" w:type="dxa"/>
            <w:vAlign w:val="center"/>
          </w:tcPr>
          <w:p w14:paraId="16EE1CFC" w14:textId="77777777" w:rsidR="00BB6A37" w:rsidRPr="00CF665D" w:rsidRDefault="00BB6A37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Population</w:t>
            </w:r>
          </w:p>
          <w:p w14:paraId="7667724B" w14:textId="47DABE39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rPr>
                <w:lang w:eastAsia="en-US"/>
              </w:rPr>
              <w:t>(UN, 2015)</w:t>
            </w:r>
          </w:p>
        </w:tc>
        <w:tc>
          <w:tcPr>
            <w:tcW w:w="1621" w:type="dxa"/>
            <w:vAlign w:val="center"/>
          </w:tcPr>
          <w:p w14:paraId="70E6B250" w14:textId="69D7C54F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325,127,634</w:t>
            </w:r>
          </w:p>
        </w:tc>
        <w:tc>
          <w:tcPr>
            <w:tcW w:w="2699" w:type="dxa"/>
            <w:vAlign w:val="center"/>
          </w:tcPr>
          <w:p w14:paraId="57CB1EB2" w14:textId="77777777" w:rsidR="00BB6A37" w:rsidRPr="00CF665D" w:rsidRDefault="00BB6A37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Fixed broadband subscriptions (%)</w:t>
            </w:r>
          </w:p>
          <w:p w14:paraId="5D53A7DD" w14:textId="1B18D012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rPr>
                <w:lang w:eastAsia="en-US"/>
              </w:rPr>
              <w:t>(ITU, 2016)</w:t>
            </w:r>
          </w:p>
        </w:tc>
        <w:tc>
          <w:tcPr>
            <w:tcW w:w="1815" w:type="dxa"/>
            <w:vAlign w:val="center"/>
          </w:tcPr>
          <w:p w14:paraId="6D5BAC6A" w14:textId="4C5D8189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32.36</w:t>
            </w:r>
          </w:p>
        </w:tc>
      </w:tr>
      <w:tr w:rsidR="00CF665D" w:rsidRPr="00CF665D" w14:paraId="3C8B0877" w14:textId="77777777" w:rsidTr="00F17993">
        <w:trPr>
          <w:trHeight w:val="20"/>
        </w:trPr>
        <w:tc>
          <w:tcPr>
            <w:tcW w:w="2875" w:type="dxa"/>
            <w:vAlign w:val="center"/>
          </w:tcPr>
          <w:p w14:paraId="34A2F485" w14:textId="21F30C92" w:rsidR="00065760" w:rsidRPr="00CF665D" w:rsidRDefault="00BB6A37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Population density</w:t>
            </w:r>
          </w:p>
          <w:p w14:paraId="482C20E5" w14:textId="1EB58458" w:rsidR="00BB6A37" w:rsidRPr="00CF665D" w:rsidRDefault="00BB6A37" w:rsidP="008404E9">
            <w:pPr>
              <w:pStyle w:val="Tableheader"/>
              <w:spacing w:before="0" w:after="0"/>
              <w:rPr>
                <w:szCs w:val="21"/>
                <w:lang w:eastAsia="en-US"/>
              </w:rPr>
            </w:pPr>
            <w:r w:rsidRPr="00CF665D">
              <w:rPr>
                <w:lang w:eastAsia="en-US"/>
              </w:rPr>
              <w:t>(people per sq.km)</w:t>
            </w:r>
          </w:p>
          <w:p w14:paraId="19318B98" w14:textId="5FF6D452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rPr>
                <w:lang w:eastAsia="en-US"/>
              </w:rPr>
              <w:t>(UN, 2015)</w:t>
            </w:r>
          </w:p>
        </w:tc>
        <w:tc>
          <w:tcPr>
            <w:tcW w:w="1621" w:type="dxa"/>
            <w:vAlign w:val="center"/>
          </w:tcPr>
          <w:p w14:paraId="1CC50430" w14:textId="6A39BC0A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33.77</w:t>
            </w:r>
          </w:p>
        </w:tc>
        <w:tc>
          <w:tcPr>
            <w:tcW w:w="2699" w:type="dxa"/>
            <w:vAlign w:val="center"/>
          </w:tcPr>
          <w:p w14:paraId="0529F431" w14:textId="77777777" w:rsidR="00BB6A37" w:rsidRPr="00CF665D" w:rsidRDefault="00BB6A37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Mobile cellular subscriptions (%)</w:t>
            </w:r>
          </w:p>
          <w:p w14:paraId="4D3E613B" w14:textId="04360234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rPr>
                <w:lang w:eastAsia="en-US"/>
              </w:rPr>
              <w:t>(ITU, 2016)</w:t>
            </w:r>
          </w:p>
        </w:tc>
        <w:tc>
          <w:tcPr>
            <w:tcW w:w="1815" w:type="dxa"/>
            <w:vAlign w:val="center"/>
          </w:tcPr>
          <w:p w14:paraId="6D24EC52" w14:textId="0F8CD8AB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127.16</w:t>
            </w:r>
          </w:p>
        </w:tc>
      </w:tr>
      <w:tr w:rsidR="00CF665D" w:rsidRPr="00CF665D" w14:paraId="6849A910" w14:textId="77777777" w:rsidTr="00F17993">
        <w:trPr>
          <w:trHeight w:val="20"/>
        </w:trPr>
        <w:tc>
          <w:tcPr>
            <w:tcW w:w="2875" w:type="dxa"/>
            <w:vAlign w:val="center"/>
          </w:tcPr>
          <w:p w14:paraId="6F922898" w14:textId="77777777" w:rsidR="00BB6A37" w:rsidRPr="00CF665D" w:rsidRDefault="00BB6A37" w:rsidP="008404E9">
            <w:pPr>
              <w:pStyle w:val="Tableheader"/>
              <w:spacing w:before="0" w:after="0"/>
              <w:rPr>
                <w:szCs w:val="21"/>
                <w:lang w:eastAsia="en-US"/>
              </w:rPr>
            </w:pPr>
            <w:r w:rsidRPr="00CF665D">
              <w:rPr>
                <w:lang w:eastAsia="en-US"/>
              </w:rPr>
              <w:t>Median household income</w:t>
            </w:r>
          </w:p>
          <w:p w14:paraId="3CD08EAE" w14:textId="552C4BE6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rPr>
                <w:lang w:eastAsia="en-US"/>
              </w:rPr>
              <w:t>(Gallup, 2006-2012)</w:t>
            </w:r>
          </w:p>
        </w:tc>
        <w:tc>
          <w:tcPr>
            <w:tcW w:w="1621" w:type="dxa"/>
            <w:vAlign w:val="center"/>
          </w:tcPr>
          <w:p w14:paraId="27FE6DB2" w14:textId="1BEA3D21" w:rsidR="00BB6A37" w:rsidRPr="00CF665D" w:rsidRDefault="00065760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US</w:t>
            </w:r>
            <w:r w:rsidR="00BB6A37" w:rsidRPr="00CF665D">
              <w:rPr>
                <w:lang w:eastAsia="en-US"/>
              </w:rPr>
              <w:t>$</w:t>
            </w:r>
            <w:r w:rsidRPr="00CF665D">
              <w:rPr>
                <w:lang w:eastAsia="en-US"/>
              </w:rPr>
              <w:t xml:space="preserve"> </w:t>
            </w:r>
            <w:r w:rsidR="00B42D35" w:rsidRPr="00CF665D">
              <w:rPr>
                <w:lang w:eastAsia="en-US"/>
              </w:rPr>
              <w:t>43</w:t>
            </w:r>
            <w:r w:rsidR="00022CCE" w:rsidRPr="00CF665D">
              <w:rPr>
                <w:lang w:eastAsia="en-US"/>
              </w:rPr>
              <w:t>,</w:t>
            </w:r>
            <w:r w:rsidR="00BB6A37" w:rsidRPr="00CF665D">
              <w:rPr>
                <w:lang w:eastAsia="en-US"/>
              </w:rPr>
              <w:t>585</w:t>
            </w:r>
          </w:p>
        </w:tc>
        <w:tc>
          <w:tcPr>
            <w:tcW w:w="2699" w:type="dxa"/>
            <w:vAlign w:val="center"/>
          </w:tcPr>
          <w:p w14:paraId="633E1EBB" w14:textId="26FF2B1B" w:rsidR="00BB6A37" w:rsidRPr="00CF665D" w:rsidRDefault="00BB6A37" w:rsidP="008404E9">
            <w:pPr>
              <w:pStyle w:val="Tableheader"/>
              <w:spacing w:before="0" w:after="0"/>
            </w:pPr>
            <w:r w:rsidRPr="00CF665D">
              <w:t>Individuals using the Internet (%)</w:t>
            </w:r>
          </w:p>
          <w:p w14:paraId="66C32040" w14:textId="612DE9BD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t>(ITU, 2016)</w:t>
            </w:r>
          </w:p>
        </w:tc>
        <w:tc>
          <w:tcPr>
            <w:tcW w:w="1815" w:type="dxa"/>
            <w:vAlign w:val="center"/>
          </w:tcPr>
          <w:p w14:paraId="66B9283D" w14:textId="3C646CA1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76.2</w:t>
            </w:r>
          </w:p>
        </w:tc>
      </w:tr>
      <w:tr w:rsidR="00CF665D" w:rsidRPr="00CF665D" w14:paraId="3B1CB6BC" w14:textId="77777777" w:rsidTr="00F17993">
        <w:trPr>
          <w:trHeight w:val="20"/>
        </w:trPr>
        <w:tc>
          <w:tcPr>
            <w:tcW w:w="2875" w:type="dxa"/>
            <w:vAlign w:val="center"/>
          </w:tcPr>
          <w:p w14:paraId="3AFFCE8F" w14:textId="77777777" w:rsidR="00334902" w:rsidRPr="00CF665D" w:rsidRDefault="00BB6A37" w:rsidP="008404E9">
            <w:pPr>
              <w:pStyle w:val="Tableheader"/>
              <w:spacing w:before="0" w:after="0"/>
            </w:pPr>
            <w:r w:rsidRPr="00CF665D">
              <w:t>Education</w:t>
            </w:r>
          </w:p>
          <w:p w14:paraId="6D625CB1" w14:textId="0647FE09" w:rsidR="00334902" w:rsidRPr="00CF665D" w:rsidRDefault="00BB6A37" w:rsidP="008404E9">
            <w:pPr>
              <w:pStyle w:val="Tableheader"/>
              <w:spacing w:before="0" w:after="0"/>
            </w:pPr>
            <w:r w:rsidRPr="00CF665D">
              <w:t>(Mean years of schooling)</w:t>
            </w:r>
          </w:p>
          <w:p w14:paraId="123657B5" w14:textId="02A41FBE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t>(UNDP, 2013)</w:t>
            </w:r>
          </w:p>
        </w:tc>
        <w:tc>
          <w:tcPr>
            <w:tcW w:w="1621" w:type="dxa"/>
            <w:vAlign w:val="center"/>
          </w:tcPr>
          <w:p w14:paraId="03817965" w14:textId="77777777" w:rsidR="00BB6A37" w:rsidRPr="00CF665D" w:rsidRDefault="00BB6A37" w:rsidP="008404E9">
            <w:pPr>
              <w:spacing w:after="0"/>
              <w:jc w:val="center"/>
            </w:pPr>
            <w:r w:rsidRPr="00CF665D">
              <w:t>Male: 12.9</w:t>
            </w:r>
          </w:p>
          <w:p w14:paraId="49CF7892" w14:textId="191AC39A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t>Female: 13.0</w:t>
            </w:r>
          </w:p>
        </w:tc>
        <w:tc>
          <w:tcPr>
            <w:tcW w:w="2699" w:type="dxa"/>
            <w:vAlign w:val="center"/>
          </w:tcPr>
          <w:p w14:paraId="0A952D6F" w14:textId="12E9518D" w:rsidR="00DC4941" w:rsidRPr="00CF665D" w:rsidRDefault="00BB6A37" w:rsidP="008404E9">
            <w:pPr>
              <w:pStyle w:val="Tableheader"/>
              <w:spacing w:before="0" w:after="0"/>
            </w:pPr>
            <w:r w:rsidRPr="00CF665D">
              <w:t>Individuals using the Internet by Gender (%)</w:t>
            </w:r>
          </w:p>
          <w:p w14:paraId="37514D42" w14:textId="17FCB625" w:rsidR="00BB6A37" w:rsidRPr="00CF665D" w:rsidRDefault="00BB6A37" w:rsidP="008404E9">
            <w:pPr>
              <w:pStyle w:val="Tableheader"/>
              <w:spacing w:before="0" w:after="0"/>
              <w:rPr>
                <w:szCs w:val="24"/>
                <w:lang w:eastAsia="en-US"/>
              </w:rPr>
            </w:pPr>
            <w:r w:rsidRPr="00CF665D">
              <w:t>(ITU, 2016)</w:t>
            </w:r>
          </w:p>
        </w:tc>
        <w:tc>
          <w:tcPr>
            <w:tcW w:w="1815" w:type="dxa"/>
            <w:vAlign w:val="center"/>
          </w:tcPr>
          <w:p w14:paraId="5FA1FC86" w14:textId="77777777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Male: 74.2</w:t>
            </w:r>
          </w:p>
          <w:p w14:paraId="450DBD1C" w14:textId="64618528" w:rsidR="00BB6A37" w:rsidRPr="00CF665D" w:rsidRDefault="00BB6A37" w:rsidP="008404E9">
            <w:pPr>
              <w:spacing w:after="0"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Female: 74.9</w:t>
            </w:r>
          </w:p>
        </w:tc>
      </w:tr>
    </w:tbl>
    <w:p w14:paraId="768993E5" w14:textId="1840F240" w:rsidR="0056611D" w:rsidRPr="00CF665D" w:rsidRDefault="000962F6" w:rsidP="00F17993">
      <w:pPr>
        <w:pStyle w:val="Heading1"/>
      </w:pPr>
      <w:r w:rsidRPr="00CF665D">
        <w:t>Project D</w:t>
      </w:r>
      <w:r w:rsidR="00EE1E6E" w:rsidRPr="00CF665D">
        <w:t>escription</w:t>
      </w:r>
    </w:p>
    <w:p w14:paraId="3F0B4701" w14:textId="6A6A3C9B" w:rsidR="0056611D" w:rsidRPr="00CF665D" w:rsidRDefault="00B8561D" w:rsidP="008404E9">
      <w:r w:rsidRPr="00CF665D">
        <w:t xml:space="preserve">Axiom’s most recent initiative is a pilot project </w:t>
      </w:r>
      <w:r w:rsidR="00251319" w:rsidRPr="00CF665D">
        <w:t>that serves</w:t>
      </w:r>
      <w:r w:rsidR="0045391E" w:rsidRPr="00CF665D">
        <w:t xml:space="preserve"> 40 customers in</w:t>
      </w:r>
      <w:r w:rsidRPr="00CF665D">
        <w:t xml:space="preserve"> </w:t>
      </w:r>
      <w:r w:rsidR="0045391E" w:rsidRPr="00CF665D">
        <w:t xml:space="preserve">Indian Township, a </w:t>
      </w:r>
      <w:r w:rsidRPr="00CF665D">
        <w:t xml:space="preserve">remote stretch of tribal land in Washington Country, Maine. </w:t>
      </w:r>
      <w:r w:rsidR="00251319" w:rsidRPr="00CF665D">
        <w:t>This area was</w:t>
      </w:r>
      <w:r w:rsidR="003D7740" w:rsidRPr="00CF665D">
        <w:t xml:space="preserve"> un</w:t>
      </w:r>
      <w:r w:rsidR="0078509A" w:rsidRPr="00CF665D">
        <w:t xml:space="preserve">served by </w:t>
      </w:r>
      <w:r w:rsidR="008C39DB" w:rsidRPr="00CF665D">
        <w:t>Internet service providers (</w:t>
      </w:r>
      <w:r w:rsidR="0078509A" w:rsidRPr="00CF665D">
        <w:t>ISPs</w:t>
      </w:r>
      <w:r w:rsidR="008C39DB" w:rsidRPr="00CF665D">
        <w:t>)</w:t>
      </w:r>
      <w:r w:rsidR="0078509A" w:rsidRPr="00CF665D">
        <w:t xml:space="preserve"> </w:t>
      </w:r>
      <w:r w:rsidR="00B42D35" w:rsidRPr="00CF665D">
        <w:t>as it is sparsely populated by</w:t>
      </w:r>
      <w:r w:rsidR="0078509A" w:rsidRPr="00CF665D">
        <w:t xml:space="preserve"> low-income </w:t>
      </w:r>
      <w:r w:rsidR="003D7740" w:rsidRPr="00CF665D">
        <w:t>residents</w:t>
      </w:r>
      <w:r w:rsidR="00B42D35" w:rsidRPr="00CF665D">
        <w:t xml:space="preserve"> </w:t>
      </w:r>
      <w:r w:rsidR="003D7740" w:rsidRPr="00CF665D">
        <w:t xml:space="preserve">and </w:t>
      </w:r>
      <w:r w:rsidR="00B42D35" w:rsidRPr="00CF665D">
        <w:t>heavily forested</w:t>
      </w:r>
      <w:r w:rsidR="003D7740" w:rsidRPr="00CF665D">
        <w:t xml:space="preserve">. </w:t>
      </w:r>
    </w:p>
    <w:p w14:paraId="4CE8AF01" w14:textId="08A3EDA3" w:rsidR="0056611D" w:rsidRPr="00CF665D" w:rsidRDefault="003D7740" w:rsidP="008404E9">
      <w:r w:rsidRPr="00CF665D">
        <w:t xml:space="preserve">With a grant of </w:t>
      </w:r>
      <w:r w:rsidR="001B6C85" w:rsidRPr="00CF665D">
        <w:t>US</w:t>
      </w:r>
      <w:r w:rsidRPr="00CF665D">
        <w:t>$</w:t>
      </w:r>
      <w:r w:rsidR="001B6C85" w:rsidRPr="00CF665D">
        <w:t xml:space="preserve"> </w:t>
      </w:r>
      <w:r w:rsidRPr="00CF665D">
        <w:t>72,000 from Microsoft’s Affordable Access Initiative, Axiom deployed TV white space</w:t>
      </w:r>
      <w:r w:rsidR="0081011B" w:rsidRPr="00CF665D">
        <w:t xml:space="preserve"> (TVWS)</w:t>
      </w:r>
      <w:r w:rsidRPr="00CF665D">
        <w:t xml:space="preserve"> technology in order to bring connectivity to the area.</w:t>
      </w:r>
      <w:r w:rsidR="008835F1" w:rsidRPr="00CF665D">
        <w:t xml:space="preserve"> </w:t>
      </w:r>
      <w:r w:rsidR="0081011B" w:rsidRPr="00CF665D">
        <w:t>TVWS</w:t>
      </w:r>
      <w:r w:rsidR="008835F1" w:rsidRPr="00CF665D">
        <w:t xml:space="preserve"> is a new and relatively inexpensive technology that does</w:t>
      </w:r>
      <w:r w:rsidR="00B42D35" w:rsidRPr="00CF665D">
        <w:t xml:space="preserve"> not require line-of-sight. </w:t>
      </w:r>
      <w:r w:rsidR="008835F1" w:rsidRPr="00CF665D">
        <w:t>Microsoft’</w:t>
      </w:r>
      <w:r w:rsidR="0053731F" w:rsidRPr="00CF665D">
        <w:t>s grant subsidized</w:t>
      </w:r>
      <w:r w:rsidR="008835F1" w:rsidRPr="00CF665D">
        <w:t xml:space="preserve"> costs that profitability </w:t>
      </w:r>
      <w:r w:rsidR="0053731F" w:rsidRPr="00CF665D">
        <w:t>prospects would have made u</w:t>
      </w:r>
      <w:r w:rsidR="0056611D" w:rsidRPr="00CF665D">
        <w:t>ntenable.</w:t>
      </w:r>
    </w:p>
    <w:p w14:paraId="797638C8" w14:textId="07BCF5FA" w:rsidR="0056611D" w:rsidRPr="00CF665D" w:rsidRDefault="0053731F" w:rsidP="008404E9">
      <w:r w:rsidRPr="00CF665D">
        <w:t xml:space="preserve">Axiom charges users </w:t>
      </w:r>
      <w:r w:rsidR="00B42D35" w:rsidRPr="00CF665D">
        <w:t>US</w:t>
      </w:r>
      <w:r w:rsidRPr="00CF665D">
        <w:t>$</w:t>
      </w:r>
      <w:r w:rsidR="00B42D35" w:rsidRPr="00CF665D">
        <w:t xml:space="preserve"> </w:t>
      </w:r>
      <w:r w:rsidRPr="00CF665D">
        <w:t>9.99/month for their first year of connectivity. They also mandate digital literacy training through their non-profit education partner</w:t>
      </w:r>
      <w:r w:rsidR="00675BBB" w:rsidRPr="00CF665D">
        <w:t xml:space="preserve">, </w:t>
      </w:r>
      <w:proofErr w:type="spellStart"/>
      <w:r w:rsidR="00675BBB" w:rsidRPr="00CF665D">
        <w:t>Adaptrum</w:t>
      </w:r>
      <w:proofErr w:type="spellEnd"/>
      <w:r w:rsidRPr="00CF665D">
        <w:t xml:space="preserve">. </w:t>
      </w:r>
      <w:r w:rsidR="00501382" w:rsidRPr="00CF665D">
        <w:t xml:space="preserve">By pairing low-cost Internet access with user-specific training programs, Axiom ensures that customers </w:t>
      </w:r>
      <w:r w:rsidR="00A91D4B" w:rsidRPr="00CF665D">
        <w:t xml:space="preserve">are able to use their connections </w:t>
      </w:r>
      <w:r w:rsidR="00501382" w:rsidRPr="00CF665D">
        <w:t>effectively</w:t>
      </w:r>
      <w:r w:rsidR="00A91D4B" w:rsidRPr="00CF665D">
        <w:t xml:space="preserve"> and</w:t>
      </w:r>
      <w:r w:rsidR="00501382" w:rsidRPr="00CF665D">
        <w:t xml:space="preserve"> to their advantage. After the first year, the price </w:t>
      </w:r>
      <w:r w:rsidR="00501382" w:rsidRPr="00CF665D">
        <w:lastRenderedPageBreak/>
        <w:t xml:space="preserve">of connectivity will rise to </w:t>
      </w:r>
      <w:r w:rsidR="00B42D35" w:rsidRPr="00CF665D">
        <w:t>US</w:t>
      </w:r>
      <w:r w:rsidR="00501382" w:rsidRPr="00CF665D">
        <w:t>$</w:t>
      </w:r>
      <w:r w:rsidR="00B42D35" w:rsidRPr="00CF665D">
        <w:t xml:space="preserve"> </w:t>
      </w:r>
      <w:r w:rsidR="00501382" w:rsidRPr="00CF665D">
        <w:t xml:space="preserve">39.99, </w:t>
      </w:r>
      <w:r w:rsidR="00B42D35" w:rsidRPr="00CF665D">
        <w:t>at which time Axiom projects that</w:t>
      </w:r>
      <w:r w:rsidR="00501382" w:rsidRPr="00CF665D">
        <w:t xml:space="preserve"> customer</w:t>
      </w:r>
      <w:r w:rsidR="00B42D35" w:rsidRPr="00CF665D">
        <w:t>s</w:t>
      </w:r>
      <w:r w:rsidR="00501382" w:rsidRPr="00CF665D">
        <w:t xml:space="preserve"> will have a more robust understanding of the value of their access to the Internet.</w:t>
      </w:r>
    </w:p>
    <w:p w14:paraId="319CDC95" w14:textId="4D0641DA" w:rsidR="006240F3" w:rsidRPr="00CF665D" w:rsidRDefault="006240F3" w:rsidP="008404E9"/>
    <w:tbl>
      <w:tblPr>
        <w:tblStyle w:val="TableGrid"/>
        <w:tblW w:w="0" w:type="auto"/>
        <w:tblCellMar>
          <w:top w:w="100" w:type="dxa"/>
          <w:left w:w="115" w:type="dxa"/>
          <w:bottom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202"/>
        <w:gridCol w:w="2108"/>
        <w:gridCol w:w="1852"/>
        <w:gridCol w:w="2848"/>
      </w:tblGrid>
      <w:tr w:rsidR="00CF665D" w:rsidRPr="00CF665D" w14:paraId="0A475F3D" w14:textId="77777777" w:rsidTr="00E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9198" w:type="dxa"/>
            <w:gridSpan w:val="4"/>
            <w:vAlign w:val="center"/>
          </w:tcPr>
          <w:p w14:paraId="1801708C" w14:textId="2E4911CE" w:rsidR="0026415A" w:rsidRPr="00CF665D" w:rsidRDefault="0026415A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 xml:space="preserve">Project </w:t>
            </w:r>
            <w:r w:rsidR="00251319" w:rsidRPr="00CF665D">
              <w:rPr>
                <w:lang w:eastAsia="en-US"/>
              </w:rPr>
              <w:t>details</w:t>
            </w:r>
          </w:p>
        </w:tc>
      </w:tr>
      <w:tr w:rsidR="00CF665D" w:rsidRPr="00CF665D" w14:paraId="7C6470B2" w14:textId="77777777" w:rsidTr="00E80E1F">
        <w:trPr>
          <w:trHeight w:val="20"/>
        </w:trPr>
        <w:tc>
          <w:tcPr>
            <w:tcW w:w="2247" w:type="dxa"/>
            <w:vAlign w:val="center"/>
          </w:tcPr>
          <w:p w14:paraId="53FA1316" w14:textId="1C0A60E3" w:rsidR="0026415A" w:rsidRPr="00CF665D" w:rsidRDefault="00B42D35" w:rsidP="008404E9">
            <w:pPr>
              <w:pStyle w:val="Tableheader"/>
              <w:spacing w:before="0" w:after="0"/>
            </w:pPr>
            <w:r w:rsidRPr="00CF665D">
              <w:t>Technology</w:t>
            </w:r>
          </w:p>
        </w:tc>
        <w:tc>
          <w:tcPr>
            <w:tcW w:w="2149" w:type="dxa"/>
            <w:vAlign w:val="center"/>
          </w:tcPr>
          <w:p w14:paraId="3BBB05CA" w14:textId="443CD50A" w:rsidR="00F756BC" w:rsidRPr="00CF665D" w:rsidRDefault="0026415A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 xml:space="preserve">TV </w:t>
            </w:r>
            <w:r w:rsidR="00D032FC" w:rsidRPr="00CF665D">
              <w:rPr>
                <w:lang w:eastAsia="en-US"/>
              </w:rPr>
              <w:t>w</w:t>
            </w:r>
            <w:r w:rsidRPr="00CF665D">
              <w:rPr>
                <w:lang w:eastAsia="en-US"/>
              </w:rPr>
              <w:t xml:space="preserve">hite </w:t>
            </w:r>
            <w:r w:rsidR="00D032FC" w:rsidRPr="00CF665D">
              <w:rPr>
                <w:lang w:eastAsia="en-US"/>
              </w:rPr>
              <w:t>s</w:t>
            </w:r>
            <w:r w:rsidRPr="00CF665D">
              <w:rPr>
                <w:lang w:eastAsia="en-US"/>
              </w:rPr>
              <w:t>pace</w:t>
            </w:r>
            <w:r w:rsidR="00251319" w:rsidRPr="00CF665D">
              <w:rPr>
                <w:lang w:eastAsia="en-US"/>
              </w:rPr>
              <w:t>s deployment</w:t>
            </w:r>
          </w:p>
        </w:tc>
        <w:tc>
          <w:tcPr>
            <w:tcW w:w="1866" w:type="dxa"/>
            <w:vAlign w:val="center"/>
          </w:tcPr>
          <w:p w14:paraId="10D9E536" w14:textId="6CE32390" w:rsidR="0026415A" w:rsidRPr="00CF665D" w:rsidRDefault="00F756BC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Training</w:t>
            </w:r>
          </w:p>
        </w:tc>
        <w:tc>
          <w:tcPr>
            <w:tcW w:w="2936" w:type="dxa"/>
            <w:vAlign w:val="center"/>
          </w:tcPr>
          <w:p w14:paraId="123AFF65" w14:textId="027A74BB" w:rsidR="0026415A" w:rsidRPr="00CF665D" w:rsidRDefault="00F756BC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Required digital literacy training for su</w:t>
            </w:r>
            <w:r w:rsidR="00123BCE" w:rsidRPr="00CF665D">
              <w:rPr>
                <w:lang w:eastAsia="en-US"/>
              </w:rPr>
              <w:t>b</w:t>
            </w:r>
            <w:r w:rsidRPr="00CF665D">
              <w:rPr>
                <w:lang w:eastAsia="en-US"/>
              </w:rPr>
              <w:t>scribers</w:t>
            </w:r>
          </w:p>
        </w:tc>
      </w:tr>
      <w:tr w:rsidR="00CF665D" w:rsidRPr="00CF665D" w14:paraId="2E8D5188" w14:textId="77777777" w:rsidTr="00E80E1F">
        <w:trPr>
          <w:trHeight w:val="20"/>
        </w:trPr>
        <w:tc>
          <w:tcPr>
            <w:tcW w:w="2247" w:type="dxa"/>
            <w:vAlign w:val="center"/>
          </w:tcPr>
          <w:p w14:paraId="344466E8" w14:textId="34C0E141" w:rsidR="0026415A" w:rsidRPr="00CF665D" w:rsidRDefault="00251319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t>Year program started</w:t>
            </w:r>
          </w:p>
        </w:tc>
        <w:tc>
          <w:tcPr>
            <w:tcW w:w="2149" w:type="dxa"/>
            <w:vAlign w:val="center"/>
          </w:tcPr>
          <w:p w14:paraId="3F2CB111" w14:textId="2CAB72F8" w:rsidR="0026415A" w:rsidRPr="00CF665D" w:rsidRDefault="0026415A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2016</w:t>
            </w:r>
          </w:p>
        </w:tc>
        <w:tc>
          <w:tcPr>
            <w:tcW w:w="1866" w:type="dxa"/>
            <w:vAlign w:val="center"/>
          </w:tcPr>
          <w:p w14:paraId="3091AA66" w14:textId="63403C86" w:rsidR="0026415A" w:rsidRPr="00CF665D" w:rsidRDefault="00F756BC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Cost to users</w:t>
            </w:r>
          </w:p>
        </w:tc>
        <w:tc>
          <w:tcPr>
            <w:tcW w:w="2936" w:type="dxa"/>
            <w:vAlign w:val="center"/>
          </w:tcPr>
          <w:p w14:paraId="6D0D3E97" w14:textId="668E4D8F" w:rsidR="00F756BC" w:rsidRPr="00CF665D" w:rsidRDefault="00065760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US</w:t>
            </w:r>
            <w:r w:rsidR="00F756BC" w:rsidRPr="00CF665D">
              <w:rPr>
                <w:lang w:eastAsia="en-US"/>
              </w:rPr>
              <w:t>$</w:t>
            </w:r>
            <w:r w:rsidRPr="00CF665D">
              <w:rPr>
                <w:lang w:eastAsia="en-US"/>
              </w:rPr>
              <w:t xml:space="preserve"> </w:t>
            </w:r>
            <w:r w:rsidR="00F756BC" w:rsidRPr="00CF665D">
              <w:rPr>
                <w:lang w:eastAsia="en-US"/>
              </w:rPr>
              <w:t xml:space="preserve">9.99 per month </w:t>
            </w:r>
            <w:r w:rsidR="00D032FC" w:rsidRPr="00CF665D">
              <w:rPr>
                <w:lang w:eastAsia="en-US"/>
              </w:rPr>
              <w:t xml:space="preserve">for the </w:t>
            </w:r>
            <w:r w:rsidR="00F756BC" w:rsidRPr="00CF665D">
              <w:rPr>
                <w:lang w:eastAsia="en-US"/>
              </w:rPr>
              <w:t>first year</w:t>
            </w:r>
            <w:r w:rsidR="00D032FC" w:rsidRPr="00CF665D">
              <w:rPr>
                <w:lang w:eastAsia="en-US"/>
              </w:rPr>
              <w:t>,</w:t>
            </w:r>
          </w:p>
          <w:p w14:paraId="5DE4D35C" w14:textId="7FDDFB2E" w:rsidR="0026415A" w:rsidRPr="00CF665D" w:rsidRDefault="00065760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US</w:t>
            </w:r>
            <w:r w:rsidR="00B42D35" w:rsidRPr="00CF665D">
              <w:rPr>
                <w:lang w:eastAsia="en-US"/>
              </w:rPr>
              <w:t>$</w:t>
            </w:r>
            <w:r w:rsidRPr="00CF665D">
              <w:rPr>
                <w:lang w:eastAsia="en-US"/>
              </w:rPr>
              <w:t xml:space="preserve"> </w:t>
            </w:r>
            <w:r w:rsidR="00F756BC" w:rsidRPr="00CF665D">
              <w:rPr>
                <w:lang w:eastAsia="en-US"/>
              </w:rPr>
              <w:t xml:space="preserve">39.99 after </w:t>
            </w:r>
            <w:r w:rsidR="00D032FC" w:rsidRPr="00CF665D">
              <w:rPr>
                <w:lang w:eastAsia="en-US"/>
              </w:rPr>
              <w:t xml:space="preserve">the </w:t>
            </w:r>
            <w:r w:rsidR="00F756BC" w:rsidRPr="00CF665D">
              <w:rPr>
                <w:lang w:eastAsia="en-US"/>
              </w:rPr>
              <w:t>first year</w:t>
            </w:r>
          </w:p>
        </w:tc>
      </w:tr>
      <w:tr w:rsidR="00CF665D" w:rsidRPr="00CF665D" w14:paraId="263A282E" w14:textId="77777777" w:rsidTr="00E80E1F">
        <w:trPr>
          <w:trHeight w:val="20"/>
        </w:trPr>
        <w:tc>
          <w:tcPr>
            <w:tcW w:w="2247" w:type="dxa"/>
            <w:vAlign w:val="center"/>
          </w:tcPr>
          <w:p w14:paraId="7E7D9177" w14:textId="77777777" w:rsidR="0026415A" w:rsidRPr="00CF665D" w:rsidRDefault="0026415A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rPr>
                <w:lang w:eastAsia="en-US"/>
              </w:rPr>
              <w:t>Geography</w:t>
            </w:r>
          </w:p>
        </w:tc>
        <w:tc>
          <w:tcPr>
            <w:tcW w:w="2149" w:type="dxa"/>
            <w:vAlign w:val="center"/>
          </w:tcPr>
          <w:p w14:paraId="324271E0" w14:textId="692A51AA" w:rsidR="0026415A" w:rsidRPr="00CF665D" w:rsidRDefault="00D27986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t xml:space="preserve">Washington Country, Maine </w:t>
            </w:r>
            <w:r w:rsidR="00F756BC" w:rsidRPr="00CF665D">
              <w:t>H</w:t>
            </w:r>
            <w:r w:rsidR="0026415A" w:rsidRPr="00CF665D">
              <w:t>eavily forested</w:t>
            </w:r>
            <w:r w:rsidR="00F756BC" w:rsidRPr="00CF665D">
              <w:t xml:space="preserve"> area</w:t>
            </w:r>
          </w:p>
        </w:tc>
        <w:tc>
          <w:tcPr>
            <w:tcW w:w="1866" w:type="dxa"/>
            <w:vAlign w:val="center"/>
          </w:tcPr>
          <w:p w14:paraId="3A176ABA" w14:textId="268215DA" w:rsidR="0026415A" w:rsidRPr="00CF665D" w:rsidRDefault="00345A65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t>Total cost of program</w:t>
            </w:r>
          </w:p>
        </w:tc>
        <w:tc>
          <w:tcPr>
            <w:tcW w:w="2936" w:type="dxa"/>
            <w:vAlign w:val="center"/>
          </w:tcPr>
          <w:p w14:paraId="008916BE" w14:textId="2CC7F4AF" w:rsidR="0026415A" w:rsidRPr="00CF665D" w:rsidRDefault="00065760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US</w:t>
            </w:r>
            <w:r w:rsidR="0026415A" w:rsidRPr="00CF665D">
              <w:rPr>
                <w:lang w:eastAsia="en-US"/>
              </w:rPr>
              <w:t>$</w:t>
            </w:r>
            <w:r w:rsidRPr="00CF665D">
              <w:rPr>
                <w:lang w:eastAsia="en-US"/>
              </w:rPr>
              <w:t xml:space="preserve"> </w:t>
            </w:r>
            <w:r w:rsidR="0026415A" w:rsidRPr="00CF665D">
              <w:rPr>
                <w:lang w:eastAsia="en-US"/>
              </w:rPr>
              <w:t>72,000</w:t>
            </w:r>
          </w:p>
        </w:tc>
      </w:tr>
      <w:tr w:rsidR="00CF665D" w:rsidRPr="00CF665D" w14:paraId="50770D19" w14:textId="77777777" w:rsidTr="00E80E1F">
        <w:trPr>
          <w:trHeight w:val="20"/>
        </w:trPr>
        <w:tc>
          <w:tcPr>
            <w:tcW w:w="2247" w:type="dxa"/>
            <w:vAlign w:val="center"/>
          </w:tcPr>
          <w:p w14:paraId="2024262F" w14:textId="77777777" w:rsidR="0026415A" w:rsidRPr="00CF665D" w:rsidRDefault="0026415A" w:rsidP="008404E9">
            <w:pPr>
              <w:pStyle w:val="Tableheader"/>
              <w:spacing w:before="0" w:after="0"/>
              <w:rPr>
                <w:lang w:eastAsia="en-US"/>
              </w:rPr>
            </w:pPr>
            <w:r w:rsidRPr="00CF665D">
              <w:t>User profile</w:t>
            </w:r>
          </w:p>
        </w:tc>
        <w:tc>
          <w:tcPr>
            <w:tcW w:w="2149" w:type="dxa"/>
            <w:vAlign w:val="center"/>
          </w:tcPr>
          <w:p w14:paraId="297F95F7" w14:textId="148255C4" w:rsidR="0026415A" w:rsidRPr="00CF665D" w:rsidRDefault="0026415A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40</w:t>
            </w:r>
            <w:r w:rsidR="00251319" w:rsidRPr="00CF665D">
              <w:rPr>
                <w:lang w:eastAsia="en-US"/>
              </w:rPr>
              <w:t xml:space="preserve"> people for pilot</w:t>
            </w:r>
          </w:p>
        </w:tc>
        <w:tc>
          <w:tcPr>
            <w:tcW w:w="1866" w:type="dxa"/>
            <w:vAlign w:val="center"/>
          </w:tcPr>
          <w:p w14:paraId="1EA8EAFA" w14:textId="5900A54D" w:rsidR="0026415A" w:rsidRPr="00CF665D" w:rsidRDefault="0026415A" w:rsidP="008404E9">
            <w:pPr>
              <w:pStyle w:val="Tableheader"/>
              <w:spacing w:before="0" w:after="0"/>
            </w:pPr>
            <w:r w:rsidRPr="00CF665D">
              <w:t xml:space="preserve">Associated </w:t>
            </w:r>
            <w:r w:rsidR="00BE5F78" w:rsidRPr="00CF665D">
              <w:t>o</w:t>
            </w:r>
            <w:r w:rsidRPr="00CF665D">
              <w:t>rganizations</w:t>
            </w:r>
          </w:p>
        </w:tc>
        <w:tc>
          <w:tcPr>
            <w:tcW w:w="2936" w:type="dxa"/>
            <w:vAlign w:val="center"/>
          </w:tcPr>
          <w:p w14:paraId="4BE11A59" w14:textId="7C4243B5" w:rsidR="0026415A" w:rsidRPr="00CF665D" w:rsidRDefault="00F5338D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proofErr w:type="spellStart"/>
            <w:r w:rsidRPr="00CF665D">
              <w:rPr>
                <w:lang w:eastAsia="en-US"/>
              </w:rPr>
              <w:t>Adaptrum</w:t>
            </w:r>
            <w:proofErr w:type="spellEnd"/>
            <w:r w:rsidR="00DA61A5" w:rsidRPr="00CF665D">
              <w:rPr>
                <w:lang w:eastAsia="en-US"/>
              </w:rPr>
              <w:t>,</w:t>
            </w:r>
          </w:p>
          <w:p w14:paraId="15BCB13C" w14:textId="1BF93968" w:rsidR="0026415A" w:rsidRPr="00CF665D" w:rsidRDefault="0026415A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Axiom Education Center</w:t>
            </w:r>
            <w:r w:rsidR="00DA61A5" w:rsidRPr="00CF665D">
              <w:rPr>
                <w:lang w:eastAsia="en-US"/>
              </w:rPr>
              <w:t>,</w:t>
            </w:r>
          </w:p>
          <w:p w14:paraId="514B4A87" w14:textId="152C7204" w:rsidR="0026415A" w:rsidRPr="00CF665D" w:rsidRDefault="00F5338D" w:rsidP="008404E9">
            <w:pPr>
              <w:spacing w:after="0"/>
              <w:contextualSpacing/>
              <w:jc w:val="center"/>
              <w:rPr>
                <w:lang w:eastAsia="en-US"/>
              </w:rPr>
            </w:pPr>
            <w:r w:rsidRPr="00CF665D">
              <w:rPr>
                <w:lang w:eastAsia="en-US"/>
              </w:rPr>
              <w:t>Microsoft</w:t>
            </w:r>
          </w:p>
        </w:tc>
      </w:tr>
    </w:tbl>
    <w:p w14:paraId="3CD4416B" w14:textId="27F2C025" w:rsidR="0056611D" w:rsidRPr="00CF665D" w:rsidRDefault="000962F6" w:rsidP="00F17993">
      <w:pPr>
        <w:pStyle w:val="Heading1"/>
      </w:pPr>
      <w:r w:rsidRPr="00CF665D">
        <w:t>Progress and Results</w:t>
      </w:r>
    </w:p>
    <w:p w14:paraId="2A274F26" w14:textId="3A57E443" w:rsidR="0056611D" w:rsidRPr="00CF665D" w:rsidRDefault="00A91D4B" w:rsidP="008404E9">
      <w:r w:rsidRPr="00CF665D">
        <w:t>Axio</w:t>
      </w:r>
      <w:r w:rsidR="00251319" w:rsidRPr="00CF665D">
        <w:t>m’s nonprofit arm</w:t>
      </w:r>
      <w:r w:rsidRPr="00CF665D">
        <w:t xml:space="preserve"> was started in 2014. Since then, they have trained </w:t>
      </w:r>
      <w:r w:rsidR="00E127D9" w:rsidRPr="00CF665D">
        <w:t xml:space="preserve">more than </w:t>
      </w:r>
      <w:r w:rsidRPr="00CF665D">
        <w:t>5,000 adult learners in Washington Country, Maine</w:t>
      </w:r>
      <w:r w:rsidR="00E127D9" w:rsidRPr="00CF665D">
        <w:t>,</w:t>
      </w:r>
      <w:r w:rsidRPr="00CF665D">
        <w:t xml:space="preserve"> to better utilize the Internet. Generally, in rural America, incomes are lower, education is less prevalent, jobs are scarce or homogenous in</w:t>
      </w:r>
      <w:r w:rsidR="00374CF8" w:rsidRPr="00CF665D">
        <w:t xml:space="preserve"> industry, and social isolation is common</w:t>
      </w:r>
      <w:r w:rsidRPr="00CF665D">
        <w:t>. Internet connections are key to helping people in these areas particip</w:t>
      </w:r>
      <w:r w:rsidR="00251319" w:rsidRPr="00CF665D">
        <w:t>ate in a culture and an economy reliant on digital technologies</w:t>
      </w:r>
      <w:r w:rsidRPr="00CF665D">
        <w:t>.</w:t>
      </w:r>
    </w:p>
    <w:p w14:paraId="41143235" w14:textId="1C6BF40B" w:rsidR="0056611D" w:rsidRPr="00CF665D" w:rsidRDefault="00A91D4B" w:rsidP="008404E9">
      <w:r w:rsidRPr="00CF665D">
        <w:t xml:space="preserve">Axiom reports success in “closing the homework gap.” </w:t>
      </w:r>
      <w:r w:rsidR="00374CF8" w:rsidRPr="00CF665D">
        <w:t xml:space="preserve">When school assignments require online work, children without Internet </w:t>
      </w:r>
      <w:r w:rsidR="00345A65" w:rsidRPr="00CF665D">
        <w:t>access at home are at a disadvantage. A</w:t>
      </w:r>
      <w:r w:rsidR="00374CF8" w:rsidRPr="00CF665D">
        <w:t xml:space="preserve"> student </w:t>
      </w:r>
      <w:r w:rsidR="00345A65" w:rsidRPr="00CF665D">
        <w:t xml:space="preserve">who </w:t>
      </w:r>
      <w:r w:rsidR="00374CF8" w:rsidRPr="00CF665D">
        <w:t xml:space="preserve">might have needed to travel </w:t>
      </w:r>
      <w:r w:rsidR="00E127D9" w:rsidRPr="00CF665D">
        <w:t xml:space="preserve">30 </w:t>
      </w:r>
      <w:r w:rsidR="00374CF8" w:rsidRPr="00CF665D">
        <w:t xml:space="preserve">minutes to the town’s library to do </w:t>
      </w:r>
      <w:r w:rsidR="00E127D9" w:rsidRPr="00CF665D">
        <w:t xml:space="preserve">their </w:t>
      </w:r>
      <w:r w:rsidR="00374CF8" w:rsidRPr="00CF665D">
        <w:t>homework</w:t>
      </w:r>
      <w:r w:rsidR="00E127D9" w:rsidRPr="00CF665D">
        <w:t xml:space="preserve"> – </w:t>
      </w:r>
      <w:r w:rsidR="00374CF8" w:rsidRPr="00CF665D">
        <w:t>or not be able to do it at all</w:t>
      </w:r>
      <w:r w:rsidR="00345A65" w:rsidRPr="00CF665D">
        <w:t xml:space="preserve"> – now has</w:t>
      </w:r>
      <w:r w:rsidR="00374CF8" w:rsidRPr="00CF665D">
        <w:t xml:space="preserve"> access at home</w:t>
      </w:r>
      <w:r w:rsidR="00345A65" w:rsidRPr="00CF665D">
        <w:t xml:space="preserve"> due to the Axiom deployment</w:t>
      </w:r>
      <w:r w:rsidR="00374CF8" w:rsidRPr="00CF665D">
        <w:t xml:space="preserve">.  </w:t>
      </w:r>
    </w:p>
    <w:p w14:paraId="75E9E9EC" w14:textId="1E1BA3B4" w:rsidR="002453DC" w:rsidRPr="00CF665D" w:rsidRDefault="00A91D4B" w:rsidP="008404E9">
      <w:r w:rsidRPr="00CF665D">
        <w:t xml:space="preserve">In these remote areas, </w:t>
      </w:r>
      <w:r w:rsidR="00345A65" w:rsidRPr="00CF665D">
        <w:t>telemedicine helps save people time and money. A</w:t>
      </w:r>
      <w:r w:rsidR="00374CF8" w:rsidRPr="00CF665D">
        <w:t xml:space="preserve"> patient with a pacemaker used to have to drive up to an hour to the nearest clinic to have </w:t>
      </w:r>
      <w:r w:rsidR="0099453C" w:rsidRPr="00CF665D">
        <w:t xml:space="preserve">their </w:t>
      </w:r>
      <w:r w:rsidR="00345A65" w:rsidRPr="00CF665D">
        <w:t>device monitored. With connectivity,</w:t>
      </w:r>
      <w:r w:rsidR="00374CF8" w:rsidRPr="00CF665D">
        <w:t xml:space="preserve"> </w:t>
      </w:r>
      <w:r w:rsidR="0099453C" w:rsidRPr="00CF665D">
        <w:t xml:space="preserve">they </w:t>
      </w:r>
      <w:r w:rsidR="00374CF8" w:rsidRPr="00CF665D">
        <w:t xml:space="preserve">can now talk to a doctor from </w:t>
      </w:r>
      <w:r w:rsidR="0099453C" w:rsidRPr="00CF665D">
        <w:t xml:space="preserve">their </w:t>
      </w:r>
      <w:r w:rsidR="00374CF8" w:rsidRPr="00CF665D">
        <w:t xml:space="preserve">home and have the data from </w:t>
      </w:r>
      <w:r w:rsidR="0099453C" w:rsidRPr="00CF665D">
        <w:t xml:space="preserve">their </w:t>
      </w:r>
      <w:r w:rsidR="00374CF8" w:rsidRPr="00CF665D">
        <w:t xml:space="preserve">heart monitored remotely via </w:t>
      </w:r>
      <w:r w:rsidR="0099453C" w:rsidRPr="00CF665D">
        <w:t xml:space="preserve">the </w:t>
      </w:r>
      <w:r w:rsidR="00374CF8" w:rsidRPr="00CF665D">
        <w:t xml:space="preserve">Internet. </w:t>
      </w:r>
    </w:p>
    <w:p w14:paraId="556BE393" w14:textId="3385E89A" w:rsidR="0056611D" w:rsidRPr="00CF665D" w:rsidRDefault="00064898" w:rsidP="00F17993">
      <w:pPr>
        <w:pStyle w:val="Heading1"/>
      </w:pPr>
      <w:r w:rsidRPr="00CF665D">
        <w:t>Challenges</w:t>
      </w:r>
    </w:p>
    <w:p w14:paraId="27065B2A" w14:textId="35B9D144" w:rsidR="0056611D" w:rsidRPr="00CF665D" w:rsidRDefault="00B42D35" w:rsidP="008404E9">
      <w:r w:rsidRPr="00CF665D">
        <w:rPr>
          <w:b/>
        </w:rPr>
        <w:t>Challenging terrain</w:t>
      </w:r>
      <w:r w:rsidR="0099453C" w:rsidRPr="00CF665D">
        <w:t xml:space="preserve"> – </w:t>
      </w:r>
      <w:r w:rsidR="00795677" w:rsidRPr="00CF665D">
        <w:t>The areas Axiom serves are heavily forested, remote, and sparsely populated areas of Maine.</w:t>
      </w:r>
      <w:r w:rsidR="009038CA" w:rsidRPr="00CF665D">
        <w:t xml:space="preserve"> In addition</w:t>
      </w:r>
      <w:r w:rsidR="00795677" w:rsidRPr="00CF665D">
        <w:t>, the weather is a factor that needs care</w:t>
      </w:r>
      <w:r w:rsidR="009038CA" w:rsidRPr="00CF665D">
        <w:t>ful consideration. Maine has extremely cold winters with large volumes of snowfall, which poses obstacles to installation and equipment maintenance.</w:t>
      </w:r>
    </w:p>
    <w:p w14:paraId="5CE85CA6" w14:textId="020E7CF0" w:rsidR="001E0F2D" w:rsidRPr="00CF665D" w:rsidRDefault="00B42D35" w:rsidP="008404E9">
      <w:r w:rsidRPr="00CF665D">
        <w:rPr>
          <w:b/>
        </w:rPr>
        <w:t>High equipment prices</w:t>
      </w:r>
      <w:r w:rsidRPr="00CF665D">
        <w:t xml:space="preserve"> </w:t>
      </w:r>
      <w:r w:rsidR="00A8429B" w:rsidRPr="00CF665D">
        <w:t xml:space="preserve">– </w:t>
      </w:r>
      <w:r w:rsidR="009038CA" w:rsidRPr="00CF665D">
        <w:t xml:space="preserve">Even when the price of Internet </w:t>
      </w:r>
      <w:r w:rsidR="00A8429B" w:rsidRPr="00CF665D">
        <w:t xml:space="preserve">service </w:t>
      </w:r>
      <w:r w:rsidR="009038CA" w:rsidRPr="00CF665D">
        <w:t xml:space="preserve">is made affordable, people in the areas Axiom serves often have trouble being able to afford Internet-capable devices. In order to meet this need, Axiom sells low-cost, refurbished computers to people who otherwise would not </w:t>
      </w:r>
      <w:r w:rsidR="00A8429B" w:rsidRPr="00CF665D">
        <w:t xml:space="preserve">have </w:t>
      </w:r>
      <w:r w:rsidR="009038CA" w:rsidRPr="00CF665D">
        <w:t>been able to purchase a device.</w:t>
      </w:r>
    </w:p>
    <w:p w14:paraId="5009B23C" w14:textId="589993CD" w:rsidR="001304E1" w:rsidRPr="00CF665D" w:rsidRDefault="000962F6" w:rsidP="00F17993">
      <w:pPr>
        <w:pStyle w:val="Heading1"/>
      </w:pPr>
      <w:r w:rsidRPr="00CF665D">
        <w:lastRenderedPageBreak/>
        <w:t xml:space="preserve">Axiom’s Suggestions for Future </w:t>
      </w:r>
      <w:r w:rsidR="005A6F3A" w:rsidRPr="00CF665D">
        <w:t>Projects</w:t>
      </w:r>
    </w:p>
    <w:p w14:paraId="3D84F7EE" w14:textId="2564058C" w:rsidR="004466C0" w:rsidRPr="00CF665D" w:rsidRDefault="00A43DF1" w:rsidP="008404E9">
      <w:r w:rsidRPr="00CF665D">
        <w:rPr>
          <w:b/>
        </w:rPr>
        <w:t>Subsidies</w:t>
      </w:r>
      <w:r w:rsidR="00A72710" w:rsidRPr="00CF665D">
        <w:rPr>
          <w:b/>
        </w:rPr>
        <w:t xml:space="preserve"> </w:t>
      </w:r>
      <w:r w:rsidR="00E329A4" w:rsidRPr="00CF665D">
        <w:rPr>
          <w:b/>
        </w:rPr>
        <w:t>can help provide initial connectivity in rural areas</w:t>
      </w:r>
      <w:r w:rsidR="00E329A4" w:rsidRPr="00CF665D">
        <w:t xml:space="preserve"> </w:t>
      </w:r>
      <w:r w:rsidR="00A72710" w:rsidRPr="00CF665D">
        <w:t xml:space="preserve">– </w:t>
      </w:r>
      <w:r w:rsidR="00A64434" w:rsidRPr="00CF665D">
        <w:t xml:space="preserve">Subsidies, </w:t>
      </w:r>
      <w:r w:rsidR="004466C0" w:rsidRPr="00CF665D">
        <w:t xml:space="preserve">such as </w:t>
      </w:r>
      <w:r w:rsidR="00A64434" w:rsidRPr="00CF665D">
        <w:t xml:space="preserve">the grant </w:t>
      </w:r>
      <w:r w:rsidR="004466C0" w:rsidRPr="00CF665D">
        <w:t xml:space="preserve">Axiom received </w:t>
      </w:r>
      <w:r w:rsidR="00A64434" w:rsidRPr="00CF665D">
        <w:t xml:space="preserve">from Microsoft, </w:t>
      </w:r>
      <w:r w:rsidR="00C44FF7" w:rsidRPr="00CF665D">
        <w:t xml:space="preserve">are </w:t>
      </w:r>
      <w:r w:rsidR="001304E1" w:rsidRPr="00CF665D">
        <w:t>useful</w:t>
      </w:r>
      <w:r w:rsidR="00C44FF7" w:rsidRPr="00CF665D">
        <w:t xml:space="preserve"> in order to </w:t>
      </w:r>
      <w:r w:rsidR="00E9555F" w:rsidRPr="00CF665D">
        <w:t xml:space="preserve">expand </w:t>
      </w:r>
      <w:r w:rsidR="00C44FF7" w:rsidRPr="00CF665D">
        <w:t xml:space="preserve">Internet infrastructure into remote areas such as </w:t>
      </w:r>
      <w:r w:rsidR="00E9555F" w:rsidRPr="00CF665D">
        <w:t>those in Maine</w:t>
      </w:r>
      <w:r w:rsidR="00C44FF7" w:rsidRPr="00CF665D">
        <w:t xml:space="preserve">. Without the prospect of exceeding operational costs, ISPs have </w:t>
      </w:r>
      <w:r w:rsidR="001304E1" w:rsidRPr="00CF665D">
        <w:t>little</w:t>
      </w:r>
      <w:r w:rsidR="00C44FF7" w:rsidRPr="00CF665D">
        <w:t xml:space="preserve"> incentive to provide these much-</w:t>
      </w:r>
      <w:r w:rsidR="004466C0" w:rsidRPr="00CF665D">
        <w:t>needed services in these areas.</w:t>
      </w:r>
    </w:p>
    <w:p w14:paraId="78F77015" w14:textId="0935A331" w:rsidR="00A43DF1" w:rsidRPr="00CF665D" w:rsidRDefault="00E329A4" w:rsidP="008404E9">
      <w:r w:rsidRPr="00CF665D">
        <w:rPr>
          <w:b/>
        </w:rPr>
        <w:t>Affordable access with digital literacy training helps</w:t>
      </w:r>
      <w:r w:rsidRPr="00CF665D">
        <w:t xml:space="preserve"> </w:t>
      </w:r>
      <w:r w:rsidR="00A72710" w:rsidRPr="00CF665D">
        <w:t xml:space="preserve">– </w:t>
      </w:r>
      <w:r w:rsidR="002540AE" w:rsidRPr="00CF665D">
        <w:t>Axiom</w:t>
      </w:r>
      <w:r w:rsidR="00E9555F" w:rsidRPr="00CF665D">
        <w:t>’s experience</w:t>
      </w:r>
      <w:r w:rsidR="002540AE" w:rsidRPr="00CF665D">
        <w:t xml:space="preserve"> </w:t>
      </w:r>
      <w:r w:rsidRPr="00CF665D">
        <w:t>suggests that d</w:t>
      </w:r>
      <w:r w:rsidR="002540AE" w:rsidRPr="00CF665D">
        <w:t xml:space="preserve">igital literacy </w:t>
      </w:r>
      <w:r w:rsidRPr="00CF665D">
        <w:t xml:space="preserve">training is complementary to affordable, low-cost connectivity. </w:t>
      </w:r>
      <w:r w:rsidR="00D24687" w:rsidRPr="00CF665D">
        <w:t xml:space="preserve">By discounting services and devices, Axiom is able to introduce people to the Internet so that they are able to organically </w:t>
      </w:r>
      <w:r w:rsidR="00E9555F" w:rsidRPr="00CF665D">
        <w:t xml:space="preserve">cultivate their </w:t>
      </w:r>
      <w:r w:rsidR="00F526D3" w:rsidRPr="00CF665D">
        <w:t>own</w:t>
      </w:r>
      <w:r w:rsidR="00D24687" w:rsidRPr="00CF665D">
        <w:t xml:space="preserve"> interest and place in </w:t>
      </w:r>
      <w:r w:rsidR="00E9555F" w:rsidRPr="00CF665D">
        <w:t>the information society</w:t>
      </w:r>
      <w:r w:rsidR="00D24687" w:rsidRPr="00CF665D">
        <w:t xml:space="preserve">. </w:t>
      </w:r>
    </w:p>
    <w:p w14:paraId="78102788" w14:textId="69C24A08" w:rsidR="004466C0" w:rsidRPr="00CF665D" w:rsidRDefault="00E329A4" w:rsidP="008404E9">
      <w:r w:rsidRPr="00CF665D">
        <w:rPr>
          <w:b/>
        </w:rPr>
        <w:t>Local partnerships are useful</w:t>
      </w:r>
      <w:r w:rsidRPr="00CF665D">
        <w:t xml:space="preserve"> </w:t>
      </w:r>
      <w:r w:rsidR="00A72710" w:rsidRPr="00CF665D">
        <w:t>–</w:t>
      </w:r>
      <w:r w:rsidRPr="00CF665D">
        <w:t xml:space="preserve"> Axiom </w:t>
      </w:r>
      <w:r w:rsidR="00A64434" w:rsidRPr="00CF665D">
        <w:t>work</w:t>
      </w:r>
      <w:r w:rsidRPr="00CF665D">
        <w:t>s</w:t>
      </w:r>
      <w:r w:rsidR="00A64434" w:rsidRPr="00CF665D">
        <w:t xml:space="preserve"> with local institutions</w:t>
      </w:r>
      <w:r w:rsidRPr="00CF665D">
        <w:t xml:space="preserve"> such as local </w:t>
      </w:r>
      <w:proofErr w:type="gramStart"/>
      <w:r w:rsidRPr="00CF665D">
        <w:t>libraries</w:t>
      </w:r>
      <w:r w:rsidR="00A64434" w:rsidRPr="00CF665D">
        <w:t xml:space="preserve">, </w:t>
      </w:r>
      <w:r w:rsidRPr="00CF665D">
        <w:t>and</w:t>
      </w:r>
      <w:proofErr w:type="gramEnd"/>
      <w:r w:rsidRPr="00CF665D">
        <w:t xml:space="preserve"> works</w:t>
      </w:r>
      <w:r w:rsidR="00AB0655" w:rsidRPr="00CF665D">
        <w:t xml:space="preserve"> to ensure</w:t>
      </w:r>
      <w:r w:rsidR="00BE3DF1" w:rsidRPr="00CF665D">
        <w:t xml:space="preserve"> </w:t>
      </w:r>
      <w:r w:rsidR="00A64434" w:rsidRPr="00CF665D">
        <w:t xml:space="preserve">that </w:t>
      </w:r>
      <w:r w:rsidR="00BD66C1" w:rsidRPr="00CF665D">
        <w:t xml:space="preserve">the </w:t>
      </w:r>
      <w:r w:rsidR="00A64434" w:rsidRPr="00CF665D">
        <w:t>library’s opening</w:t>
      </w:r>
      <w:r w:rsidR="002540AE" w:rsidRPr="00CF665D">
        <w:t xml:space="preserve"> hours are suitable for a local</w:t>
      </w:r>
      <w:r w:rsidR="00A64434" w:rsidRPr="00CF665D">
        <w:t xml:space="preserve"> working population to access services and discover how </w:t>
      </w:r>
      <w:r w:rsidR="00BD66C1" w:rsidRPr="00CF665D">
        <w:t xml:space="preserve">they can benefit from </w:t>
      </w:r>
      <w:r w:rsidR="00A64434" w:rsidRPr="00CF665D">
        <w:t>the Internet. When the specific social needs of a particular population are first descriptively identified</w:t>
      </w:r>
      <w:r w:rsidR="00BD66C1" w:rsidRPr="00CF665D">
        <w:t xml:space="preserve"> – </w:t>
      </w:r>
      <w:r w:rsidR="00A64434" w:rsidRPr="00CF665D">
        <w:t>job opportunities, education quality</w:t>
      </w:r>
      <w:r w:rsidR="000C7AAD" w:rsidRPr="00CF665D">
        <w:t>,</w:t>
      </w:r>
      <w:r w:rsidR="00A64434" w:rsidRPr="00CF665D">
        <w:t xml:space="preserve"> and diversity</w:t>
      </w:r>
      <w:r w:rsidR="00BD66C1" w:rsidRPr="00CF665D">
        <w:t xml:space="preserve"> – </w:t>
      </w:r>
      <w:r w:rsidR="00A64434" w:rsidRPr="00CF665D">
        <w:t>then a connec</w:t>
      </w:r>
      <w:r w:rsidR="002540AE" w:rsidRPr="00CF665D">
        <w:t>tivity provider can better target the requirements of</w:t>
      </w:r>
      <w:r w:rsidR="00A64434" w:rsidRPr="00CF665D">
        <w:t xml:space="preserve"> the area as well as ensure future subscriptions. </w:t>
      </w:r>
    </w:p>
    <w:p w14:paraId="1EC98A70" w14:textId="7DA907B5" w:rsidR="004466C0" w:rsidRPr="00CF665D" w:rsidRDefault="002E59E5" w:rsidP="00F17993">
      <w:pPr>
        <w:pStyle w:val="Heading1"/>
      </w:pPr>
      <w:r w:rsidRPr="00CF665D">
        <w:t>Sources</w:t>
      </w:r>
    </w:p>
    <w:p w14:paraId="6736C4E0" w14:textId="52637F9C" w:rsidR="00347225" w:rsidRPr="00CF665D" w:rsidRDefault="00347225" w:rsidP="008404E9">
      <w:pPr>
        <w:contextualSpacing/>
      </w:pPr>
      <w:proofErr w:type="spellStart"/>
      <w:r w:rsidRPr="00CF665D">
        <w:t>Oulette</w:t>
      </w:r>
      <w:proofErr w:type="spellEnd"/>
      <w:r w:rsidRPr="00CF665D">
        <w:t>,</w:t>
      </w:r>
      <w:r w:rsidR="000D3BC2" w:rsidRPr="00CF665D">
        <w:t xml:space="preserve"> M. (2017, July 14) Personal Interview.</w:t>
      </w:r>
    </w:p>
    <w:p w14:paraId="50386B1F" w14:textId="584C2EB7" w:rsidR="002E59E5" w:rsidRPr="00CF665D" w:rsidRDefault="002E59E5" w:rsidP="008404E9">
      <w:pPr>
        <w:contextualSpacing/>
      </w:pPr>
      <w:r w:rsidRPr="00CF665D">
        <w:t xml:space="preserve">Project </w:t>
      </w:r>
      <w:r w:rsidR="00065760" w:rsidRPr="00CF665D">
        <w:t>w</w:t>
      </w:r>
      <w:r w:rsidRPr="00CF665D">
        <w:t xml:space="preserve">ebsite: </w:t>
      </w:r>
      <w:hyperlink r:id="rId9" w:history="1">
        <w:r w:rsidRPr="00CF665D">
          <w:t>http://www.connectwithaxiom.com/</w:t>
        </w:r>
      </w:hyperlink>
    </w:p>
    <w:p w14:paraId="526C59A7" w14:textId="5D9EF214" w:rsidR="00BB1E94" w:rsidRPr="00CF665D" w:rsidRDefault="004466C0" w:rsidP="008404E9">
      <w:pPr>
        <w:contextualSpacing/>
      </w:pPr>
      <w:r w:rsidRPr="00CF665D">
        <w:t xml:space="preserve">Project </w:t>
      </w:r>
      <w:r w:rsidR="00065760" w:rsidRPr="00CF665D">
        <w:t>v</w:t>
      </w:r>
      <w:r w:rsidRPr="00CF665D">
        <w:t xml:space="preserve">ideo: </w:t>
      </w:r>
      <w:hyperlink r:id="rId10" w:history="1">
        <w:r w:rsidR="002E59E5" w:rsidRPr="00CF665D">
          <w:t>https://www.youtube.com/watch?v=sMdmIHaDccA</w:t>
        </w:r>
      </w:hyperlink>
    </w:p>
    <w:sectPr w:rsidR="00BB1E94" w:rsidRPr="00CF665D" w:rsidSect="00447D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1440" w:bottom="99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56E7D" w14:textId="77777777" w:rsidR="00520454" w:rsidRDefault="00520454" w:rsidP="00D733CF">
      <w:r>
        <w:separator/>
      </w:r>
    </w:p>
  </w:endnote>
  <w:endnote w:type="continuationSeparator" w:id="0">
    <w:p w14:paraId="4406970E" w14:textId="77777777" w:rsidR="00520454" w:rsidRDefault="00520454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0C617" w14:textId="77777777" w:rsidR="00F17993" w:rsidRDefault="00F17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7705604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bookmarkStart w:id="0" w:name="_GoBack" w:displacedByCustomXml="prev"/>
      <w:bookmarkEnd w:id="0" w:displacedByCustomXml="prev"/>
      <w:p w14:paraId="10506D26" w14:textId="445BBF4B" w:rsidR="00065760" w:rsidRPr="00FC734B" w:rsidRDefault="00065760" w:rsidP="00F17993">
        <w:pPr>
          <w:spacing w:after="0"/>
          <w:jc w:val="center"/>
          <w:rPr>
            <w:rStyle w:val="FooterChar"/>
          </w:rPr>
        </w:pPr>
        <w:r w:rsidRPr="00FC734B">
          <w:rPr>
            <w:rStyle w:val="FooterChar"/>
          </w:rPr>
          <w:fldChar w:fldCharType="begin"/>
        </w:r>
        <w:r w:rsidRPr="00FC734B">
          <w:rPr>
            <w:rStyle w:val="FooterChar"/>
          </w:rPr>
          <w:instrText xml:space="preserve"> PAGE   \* MERGEFORMAT </w:instrText>
        </w:r>
        <w:r w:rsidRPr="00FC734B">
          <w:rPr>
            <w:rStyle w:val="FooterChar"/>
          </w:rPr>
          <w:fldChar w:fldCharType="separate"/>
        </w:r>
        <w:r w:rsidR="007D099F">
          <w:rPr>
            <w:rStyle w:val="FooterChar"/>
            <w:noProof/>
          </w:rPr>
          <w:t>4</w:t>
        </w:r>
        <w:r w:rsidRPr="00FC734B">
          <w:rPr>
            <w:rStyle w:val="FooterCha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F909D" w14:textId="0A5F3416" w:rsidR="00B42D35" w:rsidRDefault="00B42D35" w:rsidP="00F17993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67072" w14:textId="77777777" w:rsidR="00520454" w:rsidRDefault="00520454" w:rsidP="00D733CF">
      <w:r>
        <w:separator/>
      </w:r>
    </w:p>
  </w:footnote>
  <w:footnote w:type="continuationSeparator" w:id="0">
    <w:p w14:paraId="25005EC2" w14:textId="77777777" w:rsidR="00520454" w:rsidRDefault="00520454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03F25" w14:textId="77777777" w:rsidR="00F17993" w:rsidRDefault="00F17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09B6F" w14:textId="77777777" w:rsidR="00F17993" w:rsidRDefault="00F179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342CAB4C" w:rsidR="001377A3" w:rsidRDefault="00065760" w:rsidP="00065760">
    <w:pPr>
      <w:pStyle w:val="Header"/>
      <w:tabs>
        <w:tab w:val="clear" w:pos="4680"/>
        <w:tab w:val="clear" w:pos="9360"/>
        <w:tab w:val="left" w:pos="6865"/>
      </w:tabs>
      <w:ind w:right="-1150" w:hanging="117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0B45688" wp14:editId="0144146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27700" cy="1130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8802B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F34CF"/>
    <w:multiLevelType w:val="hybridMultilevel"/>
    <w:tmpl w:val="41D4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B9"/>
    <w:rsid w:val="00010B43"/>
    <w:rsid w:val="000127FF"/>
    <w:rsid w:val="0001373B"/>
    <w:rsid w:val="0001651A"/>
    <w:rsid w:val="00021183"/>
    <w:rsid w:val="00022CCE"/>
    <w:rsid w:val="000308A9"/>
    <w:rsid w:val="00034935"/>
    <w:rsid w:val="00036756"/>
    <w:rsid w:val="00054637"/>
    <w:rsid w:val="00056561"/>
    <w:rsid w:val="00057126"/>
    <w:rsid w:val="00063573"/>
    <w:rsid w:val="00064898"/>
    <w:rsid w:val="00065760"/>
    <w:rsid w:val="0006710C"/>
    <w:rsid w:val="000815B5"/>
    <w:rsid w:val="00093C1C"/>
    <w:rsid w:val="000949C8"/>
    <w:rsid w:val="000962F6"/>
    <w:rsid w:val="000A1820"/>
    <w:rsid w:val="000C7AAD"/>
    <w:rsid w:val="000D3BC2"/>
    <w:rsid w:val="000D6F63"/>
    <w:rsid w:val="000E2B28"/>
    <w:rsid w:val="000E7657"/>
    <w:rsid w:val="000F3F4E"/>
    <w:rsid w:val="000F515E"/>
    <w:rsid w:val="00106322"/>
    <w:rsid w:val="00111E59"/>
    <w:rsid w:val="00117D2D"/>
    <w:rsid w:val="00123BCE"/>
    <w:rsid w:val="001245A4"/>
    <w:rsid w:val="00125EC5"/>
    <w:rsid w:val="00126ED9"/>
    <w:rsid w:val="001304E1"/>
    <w:rsid w:val="001377A3"/>
    <w:rsid w:val="00152D28"/>
    <w:rsid w:val="001569B3"/>
    <w:rsid w:val="0016070C"/>
    <w:rsid w:val="00183D67"/>
    <w:rsid w:val="0019020D"/>
    <w:rsid w:val="0019395C"/>
    <w:rsid w:val="00193A85"/>
    <w:rsid w:val="00196961"/>
    <w:rsid w:val="001A00CF"/>
    <w:rsid w:val="001A2144"/>
    <w:rsid w:val="001B172D"/>
    <w:rsid w:val="001B532E"/>
    <w:rsid w:val="001B6C85"/>
    <w:rsid w:val="001C74BF"/>
    <w:rsid w:val="001D476E"/>
    <w:rsid w:val="001E0F2D"/>
    <w:rsid w:val="001E2C3C"/>
    <w:rsid w:val="001E2E81"/>
    <w:rsid w:val="001E3DD4"/>
    <w:rsid w:val="001F1275"/>
    <w:rsid w:val="002026AD"/>
    <w:rsid w:val="00211B1D"/>
    <w:rsid w:val="00213EA3"/>
    <w:rsid w:val="002174D9"/>
    <w:rsid w:val="00225828"/>
    <w:rsid w:val="00233122"/>
    <w:rsid w:val="0024158E"/>
    <w:rsid w:val="002429CF"/>
    <w:rsid w:val="002453DC"/>
    <w:rsid w:val="00247D00"/>
    <w:rsid w:val="00251319"/>
    <w:rsid w:val="002540AE"/>
    <w:rsid w:val="00260336"/>
    <w:rsid w:val="002612C5"/>
    <w:rsid w:val="00263CC8"/>
    <w:rsid w:val="0026415A"/>
    <w:rsid w:val="00273C3D"/>
    <w:rsid w:val="0028055F"/>
    <w:rsid w:val="00283653"/>
    <w:rsid w:val="00284554"/>
    <w:rsid w:val="00285D5B"/>
    <w:rsid w:val="00286CB9"/>
    <w:rsid w:val="0029477F"/>
    <w:rsid w:val="002A5786"/>
    <w:rsid w:val="002B55D2"/>
    <w:rsid w:val="002B5BF5"/>
    <w:rsid w:val="002B741F"/>
    <w:rsid w:val="002C0B07"/>
    <w:rsid w:val="002C5153"/>
    <w:rsid w:val="002C60F8"/>
    <w:rsid w:val="002C78A0"/>
    <w:rsid w:val="002D5221"/>
    <w:rsid w:val="002D5300"/>
    <w:rsid w:val="002E1BE9"/>
    <w:rsid w:val="002E59E5"/>
    <w:rsid w:val="00302EDE"/>
    <w:rsid w:val="00304BA9"/>
    <w:rsid w:val="00305166"/>
    <w:rsid w:val="0031042E"/>
    <w:rsid w:val="00310508"/>
    <w:rsid w:val="00325562"/>
    <w:rsid w:val="00326A9A"/>
    <w:rsid w:val="00327122"/>
    <w:rsid w:val="00334747"/>
    <w:rsid w:val="00334902"/>
    <w:rsid w:val="00335AF0"/>
    <w:rsid w:val="00336E0D"/>
    <w:rsid w:val="00337D6F"/>
    <w:rsid w:val="00345A65"/>
    <w:rsid w:val="00347225"/>
    <w:rsid w:val="00356C00"/>
    <w:rsid w:val="00374CF8"/>
    <w:rsid w:val="0037517E"/>
    <w:rsid w:val="003779DB"/>
    <w:rsid w:val="0038425C"/>
    <w:rsid w:val="003913CF"/>
    <w:rsid w:val="00393E4D"/>
    <w:rsid w:val="003A069F"/>
    <w:rsid w:val="003A1019"/>
    <w:rsid w:val="003A2456"/>
    <w:rsid w:val="003A42AB"/>
    <w:rsid w:val="003A5258"/>
    <w:rsid w:val="003A7469"/>
    <w:rsid w:val="003A775B"/>
    <w:rsid w:val="003B687F"/>
    <w:rsid w:val="003B6CB5"/>
    <w:rsid w:val="003C45CF"/>
    <w:rsid w:val="003D19AD"/>
    <w:rsid w:val="003D7740"/>
    <w:rsid w:val="003E76F2"/>
    <w:rsid w:val="003F12E5"/>
    <w:rsid w:val="003F192A"/>
    <w:rsid w:val="003F5DB0"/>
    <w:rsid w:val="00400D62"/>
    <w:rsid w:val="004046F7"/>
    <w:rsid w:val="00404AA8"/>
    <w:rsid w:val="00423189"/>
    <w:rsid w:val="00423C4D"/>
    <w:rsid w:val="004328BF"/>
    <w:rsid w:val="00444513"/>
    <w:rsid w:val="004466C0"/>
    <w:rsid w:val="004476A9"/>
    <w:rsid w:val="00447D1F"/>
    <w:rsid w:val="0045253C"/>
    <w:rsid w:val="0045391E"/>
    <w:rsid w:val="00464B01"/>
    <w:rsid w:val="00471412"/>
    <w:rsid w:val="00475BD0"/>
    <w:rsid w:val="0048408C"/>
    <w:rsid w:val="00495891"/>
    <w:rsid w:val="004A77E6"/>
    <w:rsid w:val="004A7D76"/>
    <w:rsid w:val="004B06BA"/>
    <w:rsid w:val="004B273F"/>
    <w:rsid w:val="004B3C4C"/>
    <w:rsid w:val="004C33A6"/>
    <w:rsid w:val="004C4A6B"/>
    <w:rsid w:val="004D3992"/>
    <w:rsid w:val="004E4E55"/>
    <w:rsid w:val="004E797E"/>
    <w:rsid w:val="004F1590"/>
    <w:rsid w:val="004F48E1"/>
    <w:rsid w:val="00501382"/>
    <w:rsid w:val="00514200"/>
    <w:rsid w:val="00515373"/>
    <w:rsid w:val="00520454"/>
    <w:rsid w:val="0052368C"/>
    <w:rsid w:val="00530C24"/>
    <w:rsid w:val="0053150C"/>
    <w:rsid w:val="0053731F"/>
    <w:rsid w:val="00551F16"/>
    <w:rsid w:val="005626B4"/>
    <w:rsid w:val="00562CB8"/>
    <w:rsid w:val="0056611D"/>
    <w:rsid w:val="00566496"/>
    <w:rsid w:val="00573584"/>
    <w:rsid w:val="005830E9"/>
    <w:rsid w:val="0058669B"/>
    <w:rsid w:val="00594FA7"/>
    <w:rsid w:val="005954EA"/>
    <w:rsid w:val="00596FDA"/>
    <w:rsid w:val="005A348D"/>
    <w:rsid w:val="005A3AEF"/>
    <w:rsid w:val="005A6F3A"/>
    <w:rsid w:val="005B397F"/>
    <w:rsid w:val="005C2997"/>
    <w:rsid w:val="005C43E2"/>
    <w:rsid w:val="005D530D"/>
    <w:rsid w:val="00605A71"/>
    <w:rsid w:val="00613422"/>
    <w:rsid w:val="00613FBA"/>
    <w:rsid w:val="006153E0"/>
    <w:rsid w:val="0061646D"/>
    <w:rsid w:val="006240F3"/>
    <w:rsid w:val="0063000A"/>
    <w:rsid w:val="006378CC"/>
    <w:rsid w:val="00646209"/>
    <w:rsid w:val="006468DF"/>
    <w:rsid w:val="0064727A"/>
    <w:rsid w:val="00661004"/>
    <w:rsid w:val="0066114C"/>
    <w:rsid w:val="00661C3B"/>
    <w:rsid w:val="00664CDC"/>
    <w:rsid w:val="006664E5"/>
    <w:rsid w:val="006701DC"/>
    <w:rsid w:val="00670F47"/>
    <w:rsid w:val="00672730"/>
    <w:rsid w:val="0067342B"/>
    <w:rsid w:val="00674DE1"/>
    <w:rsid w:val="00675BBB"/>
    <w:rsid w:val="00680499"/>
    <w:rsid w:val="00682763"/>
    <w:rsid w:val="00692B74"/>
    <w:rsid w:val="00692C66"/>
    <w:rsid w:val="00692DDC"/>
    <w:rsid w:val="0069374A"/>
    <w:rsid w:val="00695E38"/>
    <w:rsid w:val="006C61DE"/>
    <w:rsid w:val="006D14DB"/>
    <w:rsid w:val="006E2904"/>
    <w:rsid w:val="006E35DB"/>
    <w:rsid w:val="006E3BAB"/>
    <w:rsid w:val="006E694E"/>
    <w:rsid w:val="00700890"/>
    <w:rsid w:val="007008C2"/>
    <w:rsid w:val="0071155C"/>
    <w:rsid w:val="00717384"/>
    <w:rsid w:val="007230D2"/>
    <w:rsid w:val="007333E3"/>
    <w:rsid w:val="00740A7B"/>
    <w:rsid w:val="00741120"/>
    <w:rsid w:val="00741A29"/>
    <w:rsid w:val="00747AE2"/>
    <w:rsid w:val="00751268"/>
    <w:rsid w:val="00753330"/>
    <w:rsid w:val="007571DA"/>
    <w:rsid w:val="00767001"/>
    <w:rsid w:val="007701E0"/>
    <w:rsid w:val="00784CB6"/>
    <w:rsid w:val="00784E6C"/>
    <w:rsid w:val="0078509A"/>
    <w:rsid w:val="00795677"/>
    <w:rsid w:val="00796E05"/>
    <w:rsid w:val="007A26A0"/>
    <w:rsid w:val="007A457F"/>
    <w:rsid w:val="007A4AD5"/>
    <w:rsid w:val="007A4DB3"/>
    <w:rsid w:val="007B71EA"/>
    <w:rsid w:val="007D099F"/>
    <w:rsid w:val="007E6AC4"/>
    <w:rsid w:val="007F0B48"/>
    <w:rsid w:val="007F1DAE"/>
    <w:rsid w:val="0080684D"/>
    <w:rsid w:val="0081011B"/>
    <w:rsid w:val="008166B6"/>
    <w:rsid w:val="00822237"/>
    <w:rsid w:val="008300A2"/>
    <w:rsid w:val="0083193F"/>
    <w:rsid w:val="00832530"/>
    <w:rsid w:val="008404E9"/>
    <w:rsid w:val="008507F7"/>
    <w:rsid w:val="00861BD6"/>
    <w:rsid w:val="0086277C"/>
    <w:rsid w:val="00877309"/>
    <w:rsid w:val="00881073"/>
    <w:rsid w:val="008835F1"/>
    <w:rsid w:val="008919D9"/>
    <w:rsid w:val="00891A90"/>
    <w:rsid w:val="00893B49"/>
    <w:rsid w:val="008A5770"/>
    <w:rsid w:val="008B06A3"/>
    <w:rsid w:val="008B2B48"/>
    <w:rsid w:val="008C39DB"/>
    <w:rsid w:val="008D78F8"/>
    <w:rsid w:val="008F17D0"/>
    <w:rsid w:val="008F452D"/>
    <w:rsid w:val="008F6A61"/>
    <w:rsid w:val="009038CA"/>
    <w:rsid w:val="00906978"/>
    <w:rsid w:val="00910469"/>
    <w:rsid w:val="009104BD"/>
    <w:rsid w:val="00911D26"/>
    <w:rsid w:val="00914C1D"/>
    <w:rsid w:val="00916B3D"/>
    <w:rsid w:val="00927A2A"/>
    <w:rsid w:val="00933796"/>
    <w:rsid w:val="009526E0"/>
    <w:rsid w:val="00955352"/>
    <w:rsid w:val="00963208"/>
    <w:rsid w:val="009633E3"/>
    <w:rsid w:val="00966407"/>
    <w:rsid w:val="0099453C"/>
    <w:rsid w:val="009A0767"/>
    <w:rsid w:val="009A307D"/>
    <w:rsid w:val="009A5A6E"/>
    <w:rsid w:val="009A6F2C"/>
    <w:rsid w:val="009B438C"/>
    <w:rsid w:val="009C0FCD"/>
    <w:rsid w:val="009C3497"/>
    <w:rsid w:val="009D3320"/>
    <w:rsid w:val="009D44AE"/>
    <w:rsid w:val="00A023B8"/>
    <w:rsid w:val="00A0495D"/>
    <w:rsid w:val="00A23F0C"/>
    <w:rsid w:val="00A24446"/>
    <w:rsid w:val="00A25EC2"/>
    <w:rsid w:val="00A266F7"/>
    <w:rsid w:val="00A35CA2"/>
    <w:rsid w:val="00A42B76"/>
    <w:rsid w:val="00A436E0"/>
    <w:rsid w:val="00A43B9F"/>
    <w:rsid w:val="00A43DF1"/>
    <w:rsid w:val="00A51FF9"/>
    <w:rsid w:val="00A64434"/>
    <w:rsid w:val="00A648DA"/>
    <w:rsid w:val="00A72710"/>
    <w:rsid w:val="00A750E9"/>
    <w:rsid w:val="00A7785E"/>
    <w:rsid w:val="00A8429B"/>
    <w:rsid w:val="00A91D4B"/>
    <w:rsid w:val="00A94E28"/>
    <w:rsid w:val="00AA1467"/>
    <w:rsid w:val="00AA5BD6"/>
    <w:rsid w:val="00AA7D7E"/>
    <w:rsid w:val="00AB0655"/>
    <w:rsid w:val="00B102CB"/>
    <w:rsid w:val="00B1358F"/>
    <w:rsid w:val="00B231F7"/>
    <w:rsid w:val="00B40D70"/>
    <w:rsid w:val="00B42D35"/>
    <w:rsid w:val="00B433DD"/>
    <w:rsid w:val="00B53BC7"/>
    <w:rsid w:val="00B56692"/>
    <w:rsid w:val="00B63611"/>
    <w:rsid w:val="00B64771"/>
    <w:rsid w:val="00B67A60"/>
    <w:rsid w:val="00B71B8A"/>
    <w:rsid w:val="00B74C56"/>
    <w:rsid w:val="00B75805"/>
    <w:rsid w:val="00B7789D"/>
    <w:rsid w:val="00B8561D"/>
    <w:rsid w:val="00B87191"/>
    <w:rsid w:val="00B941B9"/>
    <w:rsid w:val="00BA0412"/>
    <w:rsid w:val="00BB1E94"/>
    <w:rsid w:val="00BB6A37"/>
    <w:rsid w:val="00BC126C"/>
    <w:rsid w:val="00BC18F6"/>
    <w:rsid w:val="00BD66C1"/>
    <w:rsid w:val="00BE3C60"/>
    <w:rsid w:val="00BE3DF1"/>
    <w:rsid w:val="00BE5F78"/>
    <w:rsid w:val="00C03B55"/>
    <w:rsid w:val="00C05C42"/>
    <w:rsid w:val="00C0671D"/>
    <w:rsid w:val="00C3645D"/>
    <w:rsid w:val="00C44FF7"/>
    <w:rsid w:val="00C45A7B"/>
    <w:rsid w:val="00C544EF"/>
    <w:rsid w:val="00C5470C"/>
    <w:rsid w:val="00C56681"/>
    <w:rsid w:val="00C607FB"/>
    <w:rsid w:val="00C62602"/>
    <w:rsid w:val="00C74DB6"/>
    <w:rsid w:val="00C84E7E"/>
    <w:rsid w:val="00C95EDB"/>
    <w:rsid w:val="00CA1D89"/>
    <w:rsid w:val="00CA5E53"/>
    <w:rsid w:val="00CB3FD0"/>
    <w:rsid w:val="00CB480C"/>
    <w:rsid w:val="00CB5A4F"/>
    <w:rsid w:val="00CB76A3"/>
    <w:rsid w:val="00CC76A6"/>
    <w:rsid w:val="00CD1BE9"/>
    <w:rsid w:val="00CD1E5E"/>
    <w:rsid w:val="00CD24AB"/>
    <w:rsid w:val="00CE0D6C"/>
    <w:rsid w:val="00CE5E61"/>
    <w:rsid w:val="00CF2951"/>
    <w:rsid w:val="00CF665D"/>
    <w:rsid w:val="00D032FC"/>
    <w:rsid w:val="00D15B20"/>
    <w:rsid w:val="00D24687"/>
    <w:rsid w:val="00D27986"/>
    <w:rsid w:val="00D30C5A"/>
    <w:rsid w:val="00D37CBD"/>
    <w:rsid w:val="00D53C90"/>
    <w:rsid w:val="00D55BBC"/>
    <w:rsid w:val="00D568B9"/>
    <w:rsid w:val="00D57863"/>
    <w:rsid w:val="00D63EB7"/>
    <w:rsid w:val="00D733CF"/>
    <w:rsid w:val="00D801D1"/>
    <w:rsid w:val="00D8360D"/>
    <w:rsid w:val="00D921A9"/>
    <w:rsid w:val="00DA61A5"/>
    <w:rsid w:val="00DB7B0F"/>
    <w:rsid w:val="00DB7D50"/>
    <w:rsid w:val="00DC4941"/>
    <w:rsid w:val="00DD20D8"/>
    <w:rsid w:val="00DD46B8"/>
    <w:rsid w:val="00DD7477"/>
    <w:rsid w:val="00DF4B6F"/>
    <w:rsid w:val="00DF76F1"/>
    <w:rsid w:val="00E127D9"/>
    <w:rsid w:val="00E12846"/>
    <w:rsid w:val="00E230DC"/>
    <w:rsid w:val="00E23C9F"/>
    <w:rsid w:val="00E329A4"/>
    <w:rsid w:val="00E336F4"/>
    <w:rsid w:val="00E42681"/>
    <w:rsid w:val="00E431D1"/>
    <w:rsid w:val="00E439B9"/>
    <w:rsid w:val="00E5149A"/>
    <w:rsid w:val="00E63DE5"/>
    <w:rsid w:val="00E75294"/>
    <w:rsid w:val="00E80E1F"/>
    <w:rsid w:val="00E9555F"/>
    <w:rsid w:val="00EA1814"/>
    <w:rsid w:val="00EA3D8C"/>
    <w:rsid w:val="00EA7B65"/>
    <w:rsid w:val="00EB6C22"/>
    <w:rsid w:val="00ED1572"/>
    <w:rsid w:val="00ED3581"/>
    <w:rsid w:val="00EE0222"/>
    <w:rsid w:val="00EE1E6E"/>
    <w:rsid w:val="00EE375F"/>
    <w:rsid w:val="00EF3E28"/>
    <w:rsid w:val="00EF5353"/>
    <w:rsid w:val="00EF6A90"/>
    <w:rsid w:val="00F02FEC"/>
    <w:rsid w:val="00F03A85"/>
    <w:rsid w:val="00F0733E"/>
    <w:rsid w:val="00F15C20"/>
    <w:rsid w:val="00F17993"/>
    <w:rsid w:val="00F23AEB"/>
    <w:rsid w:val="00F4354F"/>
    <w:rsid w:val="00F51A65"/>
    <w:rsid w:val="00F51C1D"/>
    <w:rsid w:val="00F526D3"/>
    <w:rsid w:val="00F5338D"/>
    <w:rsid w:val="00F6004F"/>
    <w:rsid w:val="00F70822"/>
    <w:rsid w:val="00F756BC"/>
    <w:rsid w:val="00F77933"/>
    <w:rsid w:val="00F822EA"/>
    <w:rsid w:val="00F84EE7"/>
    <w:rsid w:val="00F91295"/>
    <w:rsid w:val="00F92A61"/>
    <w:rsid w:val="00F943E5"/>
    <w:rsid w:val="00F9780F"/>
    <w:rsid w:val="00FA0094"/>
    <w:rsid w:val="00FA13DD"/>
    <w:rsid w:val="00FC734B"/>
    <w:rsid w:val="00FD4CA1"/>
    <w:rsid w:val="00FD5725"/>
    <w:rsid w:val="00FD6DED"/>
    <w:rsid w:val="00FE0DB3"/>
    <w:rsid w:val="00FE445A"/>
    <w:rsid w:val="00FE6CCD"/>
    <w:rsid w:val="00FE7F58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2CB8"/>
    <w:pPr>
      <w:spacing w:after="120"/>
      <w:jc w:val="both"/>
    </w:pPr>
    <w:rPr>
      <w:rFonts w:ascii="Times New Roman" w:eastAsiaTheme="minorEastAsia" w:hAnsi="Times New Roman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7993"/>
    <w:pPr>
      <w:keepNext/>
      <w:keepLines/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autoRedefine/>
    <w:uiPriority w:val="99"/>
    <w:unhideWhenUsed/>
    <w:qFormat/>
    <w:rsid w:val="00F17993"/>
    <w:pPr>
      <w:tabs>
        <w:tab w:val="center" w:pos="4680"/>
        <w:tab w:val="right" w:pos="9360"/>
      </w:tabs>
      <w:spacing w:after="0"/>
      <w:mirrorIndents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17993"/>
    <w:rPr>
      <w:rFonts w:ascii="Times New Roman" w:eastAsiaTheme="minorEastAsia" w:hAnsi="Times New Roman"/>
      <w:szCs w:val="22"/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17993"/>
    <w:pPr>
      <w:spacing w:after="0"/>
      <w:contextualSpacing/>
      <w:jc w:val="center"/>
    </w:pPr>
    <w:rPr>
      <w:rFonts w:ascii="Palatino Linotype" w:eastAsiaTheme="majorEastAsia" w:hAnsi="Palatino Linotype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93"/>
    <w:rPr>
      <w:rFonts w:ascii="Palatino Linotype" w:eastAsiaTheme="majorEastAsia" w:hAnsi="Palatino Linotype" w:cstheme="majorBidi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SubtleEmphasis">
    <w:name w:val="Subtle Emphasis"/>
    <w:basedOn w:val="DefaultParagraphFont"/>
    <w:uiPriority w:val="19"/>
    <w:qFormat/>
    <w:rsid w:val="00562CB8"/>
    <w:rPr>
      <w:rFonts w:ascii="Times New Roman" w:hAnsi="Times New Roman"/>
      <w:i/>
      <w:i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17993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customStyle="1" w:styleId="Tableheader">
    <w:name w:val="Table header"/>
    <w:basedOn w:val="Normal"/>
    <w:autoRedefine/>
    <w:qFormat/>
    <w:rsid w:val="00562CB8"/>
    <w:pPr>
      <w:spacing w:before="100" w:after="100"/>
      <w:contextualSpacing/>
      <w:jc w:val="center"/>
    </w:pPr>
    <w:rPr>
      <w:rFonts w:eastAsia="Times New Roman" w:cs="Times New Roman"/>
      <w:b/>
      <w:bCs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3581"/>
    <w:rPr>
      <w:color w:val="954F72" w:themeColor="followedHyperlink"/>
      <w:u w:val="single"/>
    </w:rPr>
  </w:style>
  <w:style w:type="table" w:customStyle="1" w:styleId="GridTable6Colorful20">
    <w:name w:val="Grid Table 6 Colorful2"/>
    <w:basedOn w:val="TableNormal"/>
    <w:uiPriority w:val="51"/>
    <w:rsid w:val="00193A85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2B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B7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B74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B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B74"/>
    <w:rPr>
      <w:rFonts w:eastAsiaTheme="minorEastAsia"/>
      <w:b/>
      <w:bCs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910469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0469"/>
    <w:rPr>
      <w:rFonts w:eastAsiaTheme="minorEastAsi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910469"/>
    <w:rPr>
      <w:vertAlign w:val="superscript"/>
    </w:rPr>
  </w:style>
  <w:style w:type="paragraph" w:styleId="NoSpacing">
    <w:name w:val="No Spacing"/>
    <w:uiPriority w:val="1"/>
    <w:qFormat/>
    <w:rsid w:val="00BB6A37"/>
    <w:rPr>
      <w:rFonts w:eastAsiaTheme="minorEastAsia"/>
      <w:sz w:val="22"/>
      <w:szCs w:val="22"/>
      <w:lang w:eastAsia="ja-JP"/>
    </w:rPr>
  </w:style>
  <w:style w:type="table" w:styleId="TableGrid">
    <w:name w:val="Table Grid"/>
    <w:basedOn w:val="TableNormal"/>
    <w:uiPriority w:val="39"/>
    <w:rsid w:val="00562CB8"/>
    <w:rPr>
      <w:rFonts w:ascii="Times New Roman" w:hAnsi="Times New Roman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00" w:beforeAutospacing="0" w:afterLines="0" w:after="100" w:afterAutospacing="0" w:line="240" w:lineRule="auto"/>
      </w:pPr>
      <w:rPr>
        <w:rFonts w:ascii="Times New Roman" w:hAnsi="Times New Roman"/>
        <w:sz w:val="24"/>
      </w:rPr>
    </w:tblStylePr>
    <w:tblStylePr w:type="band1Vert">
      <w:rPr>
        <w:rFonts w:ascii="Times New Roman" w:hAnsi="Times New Roman"/>
        <w:b/>
        <w:sz w:val="24"/>
      </w:rPr>
    </w:tblStyle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C734B"/>
    <w:pPr>
      <w:numPr>
        <w:ilvl w:val="1"/>
      </w:numPr>
      <w:jc w:val="center"/>
    </w:pPr>
    <w:rPr>
      <w:rFonts w:ascii="Calibri Light" w:hAnsi="Calibri Light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C734B"/>
    <w:rPr>
      <w:rFonts w:ascii="Calibri Light" w:eastAsiaTheme="minorEastAsia" w:hAnsi="Calibri Light"/>
      <w:spacing w:val="15"/>
      <w:sz w:val="36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sMdmIHaDc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nectwithaxiom.com/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B3255EB-53B5-D447-B2C7-5ACC3503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6</cp:revision>
  <cp:lastPrinted>2016-10-19T17:29:00Z</cp:lastPrinted>
  <dcterms:created xsi:type="dcterms:W3CDTF">2018-01-19T15:59:00Z</dcterms:created>
  <dcterms:modified xsi:type="dcterms:W3CDTF">2018-02-02T20:06:00Z</dcterms:modified>
</cp:coreProperties>
</file>