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Dynamic Portfolio Risk Arbitrage &amp; Value-at-Risk (VaR)</w:t>
        <w:br/>
        <w:t>Monte Carlo Simulator</w:t>
      </w:r>
    </w:p>
    <w:p>
      <w:pPr>
        <w:jc w:val="center"/>
      </w:pPr>
      <w:r>
        <w:rPr>
          <w:sz w:val="22"/>
        </w:rPr>
        <w:t>Complete SQL-Based Assignment</w:t>
      </w:r>
    </w:p>
    <w:p>
      <w:pPr>
        <w:jc w:val="center"/>
      </w:pPr>
      <w:r>
        <w:rPr>
          <w:sz w:val="22"/>
        </w:rPr>
        <w:t>Technology: MySQL</w:t>
      </w:r>
    </w:p>
    <w:p>
      <w:pPr>
        <w:jc w:val="center"/>
      </w:pPr>
      <w:r>
        <w:rPr>
          <w:sz w:val="22"/>
        </w:rPr>
        <w:t>Assets: 500</w:t>
      </w:r>
    </w:p>
    <w:p>
      <w:pPr>
        <w:jc w:val="center"/>
      </w:pPr>
      <w:r>
        <w:rPr>
          <w:sz w:val="22"/>
        </w:rPr>
        <w:t>Risk Confidence Level: 99%</w:t>
      </w:r>
    </w:p>
    <w:p>
      <w:pPr>
        <w:jc w:val="center"/>
      </w:pPr>
      <w:r>
        <w:rPr>
          <w:sz w:val="22"/>
        </w:rPr>
        <w:t>Simulation Method: Monte Carlo</w:t>
      </w:r>
    </w:p>
    <w:p>
      <w:r>
        <w:rPr>
          <w:b/>
          <w:sz w:val="26"/>
        </w:rPr>
        <w:t>1. Abstract</w:t>
      </w:r>
    </w:p>
    <w:p>
      <w:pPr>
        <w:spacing w:after="100"/>
      </w:pPr>
      <w:r>
        <w:rPr>
          <w:sz w:val="22"/>
        </w:rPr>
        <w:t>This project presents a database-oriented financial risk analysis system for a diversified portfolio of 500 assets. The revised approach uses SQL to organize asset information, historical prices, daily returns, portfolio weights, covariance relationships, random variables, and simulated outcomes. Instead of focusing only on the final VaR number, the system provides a complete analytical workflow from market-data preparation to portfolio-level risk reporting. Monte Carlo scenarios are generated using a Geometric Brownian Motion framework, and the resulting profit-and-loss distribution is used to estimate one-day risk at a 99% confidence level.</w:t>
      </w:r>
    </w:p>
    <w:p>
      <w:r>
        <w:rPr>
          <w:b/>
          <w:sz w:val="26"/>
        </w:rPr>
        <w:t>2. Problem Statement</w:t>
      </w:r>
    </w:p>
    <w:p>
      <w:pPr>
        <w:spacing w:after="100"/>
      </w:pPr>
      <w:r>
        <w:rPr>
          <w:sz w:val="22"/>
        </w:rPr>
        <w:t>Large portfolios can experience losses because asset prices change independently as well as in response to common market movements. A risk analyst therefore needs a repeatable method to generate alternative market scenarios and measure their impact on the complete portfolio. The task is to build a MySQL-based system that stores 500 assets, prepares historical observations, measures return relationships, produces simulated prices, aggregates portfolio values, and identifies the lower-tail loss represented by 99% VaR. The solution should also provide supporting measures such as Expected Shortfall and sector-level risk information.</w:t>
      </w:r>
    </w:p>
    <w:p>
      <w:r>
        <w:rPr>
          <w:b/>
          <w:sz w:val="26"/>
        </w:rPr>
        <w:t>3. Objectives</w:t>
      </w:r>
    </w:p>
    <w:p>
      <w:pPr>
        <w:spacing w:after="100"/>
      </w:pPr>
      <w:r>
        <w:rPr>
          <w:sz w:val="22"/>
        </w:rPr>
        <w:t>1. Build a structured MySQL database for a 500-asset portfolio.</w:t>
        <w:br/>
        <w:t>2. Maintain historical closing-price observations for every asset.</w:t>
        <w:br/>
        <w:t>3. Derive daily returns from consecutive price records.</w:t>
        <w:br/>
        <w:t>4. Measure pairwise return dependence using a covariance matrix.</w:t>
        <w:br/>
        <w:t>5. Use Cholesky decomposition to transform independent random values into correlated shocks.</w:t>
        <w:br/>
        <w:t>6. Generate Monte Carlo scenarios for future asset prices.</w:t>
        <w:br/>
        <w:t>7. Calculate simulated portfolio values and profit/loss.</w:t>
        <w:br/>
        <w:t>8. Estimate 99% Value-at-Risk and Expected Shortfall.</w:t>
        <w:br/>
        <w:t>9. Produce sector and overall portfolio risk summaries.</w:t>
        <w:br/>
        <w:t>10. Create a foundation for future dashboard and portfolio-optimization features.</w:t>
      </w:r>
    </w:p>
    <w:p>
      <w:r>
        <w:rPr>
          <w:b/>
          <w:sz w:val="26"/>
        </w:rPr>
        <w:t>4. Technologies Used</w:t>
      </w:r>
    </w:p>
    <w:p>
      <w:pPr>
        <w:spacing w:after="100"/>
      </w:pPr>
      <w:r>
        <w:rPr>
          <w:sz w:val="22"/>
        </w:rPr>
        <w:t>Technology — Purpose</w:t>
        <w:br/>
        <w:t>MySQL — Stores portfolio, market, simulation, and reporting data.</w:t>
        <w:br/>
        <w:t>SQL — Performs filtering, joins, aggregation, return calculations, and risk calculations.</w:t>
        <w:br/>
        <w:t>Stored Procedures — Automate asset creation, random-variable generation, and simulation loops.</w:t>
        <w:br/>
        <w:t>Monte Carlo Simulation — Produces many possible portfolio outcomes.</w:t>
        <w:br/>
        <w:t>Geometric Brownian Motion — Models possible future asset prices.</w:t>
        <w:br/>
        <w:t>Covariance Matrix — Represents how asset returns move together.</w:t>
        <w:br/>
        <w:t>Cholesky Decomposition — Introduces cross-asset correlation into random shocks.</w:t>
      </w:r>
    </w:p>
    <w:p>
      <w:r>
        <w:rPr>
          <w:b/>
          <w:sz w:val="26"/>
        </w:rPr>
        <w:t>5. System Architecture</w:t>
      </w:r>
    </w:p>
    <w:p>
      <w:pPr>
        <w:spacing w:after="100"/>
      </w:pPr>
      <w:r>
        <w:rPr>
          <w:sz w:val="22"/>
        </w:rPr>
        <w:t>The revised system follows a sequential analytical pipeline:</w:t>
      </w:r>
    </w:p>
    <w:p>
      <w:pPr>
        <w:spacing w:after="100"/>
      </w:pPr>
      <w:r>
        <w:rPr>
          <w:sz w:val="22"/>
        </w:rPr>
        <w:t>Asset Master Data</w:t>
        <w:br/>
        <w:t xml:space="preserve">        ↓</w:t>
        <w:br/>
        <w:t>Historical Price Records</w:t>
        <w:br/>
        <w:t xml:space="preserve">        ↓</w:t>
        <w:br/>
        <w:t>Daily Return Calculation</w:t>
        <w:br/>
        <w:t xml:space="preserve">        ↓</w:t>
        <w:br/>
        <w:t>Portfolio Holdings and Weights</w:t>
        <w:br/>
        <w:t xml:space="preserve">        ↓</w:t>
        <w:br/>
        <w:t>Covariance Estimation</w:t>
        <w:br/>
        <w:t xml:space="preserve">        ↓</w:t>
        <w:br/>
        <w:t>Cholesky Correlation Model</w:t>
        <w:br/>
        <w:t xml:space="preserve">        ↓</w:t>
        <w:br/>
        <w:t>Random Normal Shocks</w:t>
        <w:br/>
        <w:t xml:space="preserve">        ↓</w:t>
        <w:br/>
        <w:t>GBM Price Simulation</w:t>
        <w:br/>
        <w:t xml:space="preserve">        ↓</w:t>
        <w:br/>
        <w:t>Portfolio Value and P&amp;L</w:t>
        <w:br/>
        <w:t xml:space="preserve">        ↓</w:t>
        <w:br/>
        <w:t>99% VaR and Expected Shortfall</w:t>
        <w:br/>
        <w:t xml:space="preserve">        ↓</w:t>
        <w:br/>
        <w:t>Sector Analysis and Final Risk Report</w:t>
      </w:r>
    </w:p>
    <w:p>
      <w:pPr>
        <w:spacing w:after="100"/>
      </w:pPr>
      <w:r>
        <w:rPr>
          <w:sz w:val="22"/>
        </w:rPr>
        <w:t>Each stage produces data required by the next stage, making the workflow suitable for repeated risk calculations.</w:t>
      </w:r>
    </w:p>
    <w:p>
      <w:r>
        <w:rPr>
          <w:b/>
          <w:sz w:val="26"/>
        </w:rPr>
        <w:t>6. Database Creation</w:t>
      </w:r>
    </w:p>
    <w:p>
      <w:pPr>
        <w:spacing w:after="100"/>
      </w:pPr>
      <w:r>
        <w:rPr>
          <w:sz w:val="22"/>
        </w:rPr>
        <w:t>The database is designed to separate static asset information from changing market and simulation records. A dedicated schema can be created before the analytical tables are loaded.</w:t>
      </w:r>
    </w:p>
    <w:p>
      <w:pPr>
        <w:spacing w:after="100"/>
      </w:pPr>
      <w:r>
        <w:rPr>
          <w:sz w:val="22"/>
        </w:rPr>
        <w:t>DROP DATABASE IF EXISTS PortfolioRiskDB;</w:t>
        <w:br/>
        <w:t>CREATE DATABASE PortfolioRiskDB;</w:t>
        <w:br/>
        <w:t>USE PortfolioRiskDB;</w:t>
      </w:r>
    </w:p>
    <w:p>
      <w:pPr>
        <w:spacing w:after="100"/>
      </w:pPr>
      <w:r>
        <w:rPr>
          <w:sz w:val="22"/>
        </w:rPr>
        <w:t>The schema provides a central location for asset characteristics, price history, returns, holdings, covariance values, random shocks, simulation results, and risk summaries.</w:t>
      </w:r>
    </w:p>
    <w:p>
      <w:r>
        <w:rPr>
          <w:b/>
          <w:sz w:val="26"/>
        </w:rPr>
        <w:t>7. Assets Table</w:t>
      </w:r>
    </w:p>
    <w:p>
      <w:pPr>
        <w:spacing w:after="100"/>
      </w:pPr>
      <w:r>
        <w:rPr>
          <w:sz w:val="22"/>
        </w:rPr>
        <w:t>CREATE TABLE Assets (</w:t>
        <w:br/>
        <w:t xml:space="preserve">    asset_id INT PRIMARY KEY,</w:t>
        <w:br/>
        <w:t xml:space="preserve">    asset_symbol VARCHAR(20) NOT NULL,</w:t>
        <w:br/>
        <w:t xml:space="preserve">    asset_name VARCHAR(100) NOT NULL,</w:t>
        <w:br/>
        <w:t xml:space="preserve">    sector VARCHAR(50),</w:t>
        <w:br/>
        <w:t xml:space="preserve">    initial_price DECIMAL(15,4),</w:t>
        <w:br/>
        <w:t xml:space="preserve">    annual_drift DECIMAL(10,6),</w:t>
        <w:br/>
        <w:t xml:space="preserve">    annual_volatility DECIMAL(10,6)</w:t>
        <w:br/>
        <w:t>);</w:t>
      </w:r>
    </w:p>
    <w:p>
      <w:pPr>
        <w:spacing w:after="100"/>
      </w:pPr>
      <w:r>
        <w:rPr>
          <w:sz w:val="22"/>
        </w:rPr>
        <w:t>The table stores the basic parameters required by the simulation. Sector information supports later group-level analysis, while drift and volatility provide the main inputs to the GBM price model.</w:t>
      </w:r>
    </w:p>
    <w:p>
      <w:r>
        <w:rPr>
          <w:b/>
          <w:sz w:val="26"/>
        </w:rPr>
        <w:t>8. Generate 500 Assets</w:t>
      </w:r>
    </w:p>
    <w:p>
      <w:pPr>
        <w:spacing w:after="100"/>
      </w:pPr>
      <w:r>
        <w:rPr>
          <w:sz w:val="22"/>
        </w:rPr>
        <w:t>The database can populate the remaining assets through a stored procedure. Asset symbols are generated sequentially, sectors are distributed across several business groups, and illustrative starting prices and risk parameters are assigned.</w:t>
      </w:r>
    </w:p>
    <w:p>
      <w:pPr>
        <w:spacing w:after="100"/>
      </w:pPr>
      <w:r>
        <w:rPr>
          <w:sz w:val="22"/>
        </w:rPr>
        <w:t>A controlled generation procedure makes it easy to reproduce a portfolio of the required size. After execution, the following validation query confirms the number of assets:</w:t>
      </w:r>
    </w:p>
    <w:p>
      <w:pPr>
        <w:spacing w:after="100"/>
      </w:pPr>
      <w:r>
        <w:rPr>
          <w:sz w:val="22"/>
        </w:rPr>
        <w:t>SELECT COUNT(*) AS Total_Assets FROM Assets;</w:t>
      </w:r>
    </w:p>
    <w:p>
      <w:pPr>
        <w:spacing w:after="100"/>
      </w:pPr>
      <w:r>
        <w:rPr>
          <w:sz w:val="22"/>
        </w:rPr>
        <w:t>Expected count: 500.</w:t>
      </w:r>
    </w:p>
    <w:p>
      <w:r>
        <w:rPr>
          <w:b/>
          <w:sz w:val="26"/>
        </w:rPr>
        <w:t>9. Historical Prices</w:t>
      </w:r>
    </w:p>
    <w:p>
      <w:pPr>
        <w:spacing w:after="100"/>
      </w:pPr>
      <w:r>
        <w:rPr>
          <w:sz w:val="22"/>
        </w:rPr>
        <w:t>Historical price data is stored separately so that each asset can have multiple observations.</w:t>
      </w:r>
    </w:p>
    <w:p>
      <w:pPr>
        <w:spacing w:after="100"/>
      </w:pPr>
      <w:r>
        <w:rPr>
          <w:sz w:val="22"/>
        </w:rPr>
        <w:t>CREATE TABLE Historical_Prices (</w:t>
        <w:br/>
        <w:t xml:space="preserve">    price_id BIGINT AUTO_INCREMENT PRIMARY KEY,</w:t>
        <w:br/>
        <w:t xml:space="preserve">    asset_id INT NOT NULL,</w:t>
        <w:br/>
        <w:t xml:space="preserve">    price_date DATE NOT NULL,</w:t>
        <w:br/>
        <w:t xml:space="preserve">    closing_price DECIMAL(15,6) NOT NULL,</w:t>
        <w:br/>
        <w:t xml:space="preserve">    FOREIGN KEY (asset_id) REFERENCES Assets(asset_id)</w:t>
        <w:br/>
        <w:t>);</w:t>
      </w:r>
    </w:p>
    <w:p>
      <w:pPr>
        <w:spacing w:after="100"/>
      </w:pPr>
      <w:r>
        <w:rPr>
          <w:sz w:val="22"/>
        </w:rPr>
        <w:t>For an illustrative 100-observation history across 500 assets, the database contains approximately 50,000 price records. The generated values are suitable for demonstrating the analytics pipeline but should be replaced with verified market data in a production environment.</w:t>
      </w:r>
    </w:p>
    <w:p>
      <w:r>
        <w:rPr>
          <w:b/>
          <w:sz w:val="26"/>
        </w:rPr>
        <w:t>10. Asset Returns</w:t>
      </w:r>
    </w:p>
    <w:p>
      <w:pPr>
        <w:spacing w:after="100"/>
      </w:pPr>
      <w:r>
        <w:rPr>
          <w:sz w:val="22"/>
        </w:rPr>
        <w:t>Daily simple returns can be calculated by matching each price observation with the previous date for the same asset:</w:t>
      </w:r>
    </w:p>
    <w:p>
      <w:pPr>
        <w:spacing w:after="100"/>
      </w:pPr>
      <w:r>
        <w:rPr>
          <w:sz w:val="22"/>
        </w:rPr>
        <w:t>Return = (Current Price − Previous Price) / Previous Price</w:t>
      </w:r>
    </w:p>
    <w:p>
      <w:pPr>
        <w:spacing w:after="100"/>
      </w:pPr>
      <w:r>
        <w:rPr>
          <w:sz w:val="22"/>
        </w:rPr>
        <w:t>The return table allows later covariance calculations to use synchronized observations across assets. A small sample should always be inspected after insertion to verify that the date joins and return values are behaving correctly.</w:t>
      </w:r>
    </w:p>
    <w:p>
      <w:r>
        <w:rPr>
          <w:b/>
          <w:sz w:val="26"/>
        </w:rPr>
        <w:t>11. Portfolio Holdings</w:t>
      </w:r>
    </w:p>
    <w:p>
      <w:pPr>
        <w:spacing w:after="100"/>
      </w:pPr>
      <w:r>
        <w:rPr>
          <w:sz w:val="22"/>
        </w:rPr>
        <w:t>Portfolio holdings identify how many units of each asset are included and what proportion of the portfolio each position represents.</w:t>
      </w:r>
    </w:p>
    <w:p>
      <w:pPr>
        <w:spacing w:after="100"/>
      </w:pPr>
      <w:r>
        <w:rPr>
          <w:sz w:val="22"/>
        </w:rPr>
        <w:t>CREATE TABLE Portfolio_Holdings (</w:t>
        <w:br/>
        <w:t xml:space="preserve">    holding_id INT AUTO_INCREMENT PRIMARY KEY,</w:t>
        <w:br/>
        <w:t xml:space="preserve">    asset_id INT,</w:t>
        <w:br/>
        <w:t xml:space="preserve">    quantity DECIMAL(18,4),</w:t>
        <w:br/>
        <w:t xml:space="preserve">    weight DECIMAL(18,10),</w:t>
        <w:br/>
        <w:t xml:space="preserve">    FOREIGN KEY (asset_id) REFERENCES Assets(asset_id)</w:t>
        <w:br/>
        <w:t>);</w:t>
      </w:r>
    </w:p>
    <w:p>
      <w:pPr>
        <w:spacing w:after="100"/>
      </w:pPr>
      <w:r>
        <w:rPr>
          <w:sz w:val="22"/>
        </w:rPr>
        <w:t>A portfolio validation step should confirm that the sum of the weights is approximately 1.0. This check is important because incorrect weights directly affect both portfolio variance and simulated portfolio values.</w:t>
      </w:r>
    </w:p>
    <w:p>
      <w:r>
        <w:rPr>
          <w:b/>
          <w:sz w:val="26"/>
        </w:rPr>
        <w:t>12. Historical Covariance Matrix</w:t>
      </w:r>
    </w:p>
    <w:p>
      <w:pPr>
        <w:spacing w:after="100"/>
      </w:pPr>
      <w:r>
        <w:rPr>
          <w:sz w:val="22"/>
        </w:rPr>
        <w:t>Covariance describes the joint movement of two asset returns. With 500 assets, a complete square matrix contains 500 × 500 = 250,000 ordered asset pairs.</w:t>
      </w:r>
    </w:p>
    <w:p>
      <w:pPr>
        <w:spacing w:after="100"/>
      </w:pPr>
      <w:r>
        <w:rPr>
          <w:sz w:val="22"/>
        </w:rPr>
        <w:t>CREATE TABLE Covariance_Matrix (</w:t>
        <w:br/>
        <w:t xml:space="preserve">    asset_i INT,</w:t>
        <w:br/>
        <w:t xml:space="preserve">    asset_j INT,</w:t>
        <w:br/>
        <w:t xml:space="preserve">    covariance_value DECIMAL(30,18),</w:t>
        <w:br/>
        <w:t xml:space="preserve">    PRIMARY KEY(asset_i,asset_j)</w:t>
        <w:br/>
        <w:t>);</w:t>
      </w:r>
    </w:p>
    <w:p>
      <w:pPr>
        <w:spacing w:after="100"/>
      </w:pPr>
      <w:r>
        <w:rPr>
          <w:sz w:val="22"/>
        </w:rPr>
        <w:t>The matrix is calculated from synchronized daily returns. Diagonal entries represent individual return variances, while off-diagonal entries represent pairwise covariance.</w:t>
      </w:r>
    </w:p>
    <w:p>
      <w:r>
        <w:rPr>
          <w:b/>
          <w:sz w:val="26"/>
        </w:rPr>
        <w:t>13. Portfolio Variance and Volatility</w:t>
      </w:r>
    </w:p>
    <w:p>
      <w:pPr>
        <w:spacing w:after="100"/>
      </w:pPr>
      <w:r>
        <w:rPr>
          <w:sz w:val="22"/>
        </w:rPr>
        <w:t>Portfolio variance combines individual asset weights with the covariance matrix:</w:t>
      </w:r>
    </w:p>
    <w:p>
      <w:pPr>
        <w:spacing w:after="100"/>
      </w:pPr>
      <w:r>
        <w:rPr>
          <w:sz w:val="22"/>
        </w:rPr>
        <w:t>Portfolio Variance = Σ wi × wj × Cov(i,j)</w:t>
      </w:r>
    </w:p>
    <w:p>
      <w:pPr>
        <w:spacing w:after="100"/>
      </w:pPr>
      <w:r>
        <w:rPr>
          <w:sz w:val="22"/>
        </w:rPr>
        <w:t>SQL can calculate this by joining the holdings table to itself and then joining both asset identifiers to the covariance matrix. Portfolio volatility is obtained by taking the square root of the resulting variance. This provides a portfolio-level measure rather than evaluating each asset independently.</w:t>
      </w:r>
    </w:p>
    <w:p>
      <w:r>
        <w:rPr>
          <w:b/>
          <w:sz w:val="26"/>
        </w:rPr>
        <w:t>14. Cholesky Decomposition</w:t>
      </w:r>
    </w:p>
    <w:p>
      <w:pPr>
        <w:spacing w:after="100"/>
      </w:pPr>
      <w:r>
        <w:rPr>
          <w:sz w:val="22"/>
        </w:rPr>
        <w:t>For a suitable positive-definite covariance matrix, Cholesky decomposition represents the matrix as:</w:t>
      </w:r>
    </w:p>
    <w:p>
      <w:pPr>
        <w:spacing w:after="100"/>
      </w:pPr>
      <w:r>
        <w:rPr>
          <w:sz w:val="22"/>
        </w:rPr>
        <w:t>Σ = L × L'</w:t>
      </w:r>
    </w:p>
    <w:p>
      <w:pPr>
        <w:spacing w:after="100"/>
      </w:pPr>
      <w:r>
        <w:rPr>
          <w:sz w:val="22"/>
        </w:rPr>
        <w:t>where L is a lower-triangular matrix. If Z is a vector of independent standard-normal values, multiplying L by Z creates a vector whose covariance follows the target covariance structure. This step is important because independently simulated asset shocks would otherwise ignore relationships between assets.</w:t>
      </w:r>
    </w:p>
    <w:p>
      <w:pPr>
        <w:spacing w:after="100"/>
      </w:pPr>
      <w:r>
        <w:rPr>
          <w:sz w:val="22"/>
        </w:rPr>
        <w:t>For a 500-dimensional matrix, the calculation is computationally significant. MySQL can store the resulting lower-triangular values, while a specialized numerical layer can be used when high-performance matrix operations are required.</w:t>
      </w:r>
    </w:p>
    <w:p>
      <w:r>
        <w:rPr>
          <w:b/>
          <w:sz w:val="26"/>
        </w:rPr>
        <w:t>15. Random Normal Variables – Box-Muller</w:t>
      </w:r>
    </w:p>
    <w:p>
      <w:pPr>
        <w:spacing w:after="100"/>
      </w:pPr>
      <w:r>
        <w:rPr>
          <w:sz w:val="22"/>
        </w:rPr>
        <w:t>The Box-Muller transformation provides a practical way to create approximately standard-normal values from uniform random numbers:</w:t>
      </w:r>
    </w:p>
    <w:p>
      <w:pPr>
        <w:spacing w:after="100"/>
      </w:pPr>
      <w:r>
        <w:rPr>
          <w:sz w:val="22"/>
        </w:rPr>
        <w:t>Z = sqrt(-2 ln(U1)) × cos(2πU2)</w:t>
      </w:r>
    </w:p>
    <w:p>
      <w:pPr>
        <w:spacing w:after="100"/>
      </w:pPr>
      <w:r>
        <w:rPr>
          <w:sz w:val="22"/>
        </w:rPr>
        <w:t>In MySQL, RAND() supplies the uniform inputs. These values become the independent random shocks before correlation is introduced through the Cholesky transformation. Repeated generation creates the scenario inputs required by Monte Carlo simulation.</w:t>
      </w:r>
    </w:p>
    <w:p>
      <w:r>
        <w:rPr>
          <w:b/>
          <w:sz w:val="26"/>
        </w:rPr>
        <w:t>16. Random Shocks</w:t>
      </w:r>
    </w:p>
    <w:p>
      <w:pPr>
        <w:spacing w:after="100"/>
      </w:pPr>
      <w:r>
        <w:rPr>
          <w:sz w:val="22"/>
        </w:rPr>
        <w:t>CREATE TABLE Random_Shocks (</w:t>
        <w:br/>
        <w:t xml:space="preserve">    simulation_id INT,</w:t>
        <w:br/>
        <w:t xml:space="preserve">    asset_id INT,</w:t>
        <w:br/>
        <w:t xml:space="preserve">    random_z DECIMAL(18,10),</w:t>
        <w:br/>
        <w:t xml:space="preserve">    PRIMARY KEY(simulation_id,asset_id)</w:t>
        <w:br/>
        <w:t>);</w:t>
      </w:r>
    </w:p>
    <w:p>
      <w:pPr>
        <w:spacing w:after="100"/>
      </w:pPr>
      <w:r>
        <w:rPr>
          <w:sz w:val="22"/>
        </w:rPr>
        <w:t>For 1,000 simulations and 500 assets, the table contains 500,000 random observations. The simulation identifier keeps each scenario separate, while asset_id associates every shock with its corresponding asset.</w:t>
      </w:r>
    </w:p>
    <w:p>
      <w:r>
        <w:rPr>
          <w:b/>
          <w:sz w:val="26"/>
        </w:rPr>
        <w:t>17. Geometric Brownian Motion</w:t>
      </w:r>
    </w:p>
    <w:p>
      <w:pPr>
        <w:spacing w:after="100"/>
      </w:pPr>
      <w:r>
        <w:rPr>
          <w:sz w:val="22"/>
        </w:rPr>
        <w:t>The simulated asset price follows the Geometric Brownian Motion expression:</w:t>
      </w:r>
    </w:p>
    <w:p>
      <w:pPr>
        <w:spacing w:after="100"/>
      </w:pPr>
      <w:r>
        <w:rPr>
          <w:sz w:val="22"/>
        </w:rPr>
        <w:t>S(t+Δt) = S(t) × exp[(μ − σ²/2)Δt + σ√Δt Z]</w:t>
      </w:r>
    </w:p>
    <w:p>
      <w:pPr>
        <w:spacing w:after="100"/>
      </w:pPr>
      <w:r>
        <w:rPr>
          <w:sz w:val="22"/>
        </w:rPr>
        <w:t>For daily modelling, Δt is commonly represented as 1/252. The drift term describes the expected annualized growth component, volatility controls the scale of the random movement, and Z supplies the scenario-specific shock.</w:t>
      </w:r>
    </w:p>
    <w:p>
      <w:r>
        <w:rPr>
          <w:b/>
          <w:sz w:val="26"/>
        </w:rPr>
        <w:t>18. Monte Carlo Simulation Table</w:t>
      </w:r>
    </w:p>
    <w:p>
      <w:pPr>
        <w:spacing w:after="100"/>
      </w:pPr>
      <w:r>
        <w:rPr>
          <w:sz w:val="22"/>
        </w:rPr>
        <w:t>CREATE TABLE Monte_Carlo_Simulation (</w:t>
        <w:br/>
        <w:t xml:space="preserve">    simulation_id INT,</w:t>
        <w:br/>
        <w:t xml:space="preserve">    asset_id INT,</w:t>
        <w:br/>
        <w:t xml:space="preserve">    simulated_price DECIMAL(20,6),</w:t>
        <w:br/>
        <w:t xml:space="preserve">    portfolio_value DECIMAL(20,6)</w:t>
        <w:br/>
        <w:t>);</w:t>
      </w:r>
    </w:p>
    <w:p>
      <w:pPr>
        <w:spacing w:after="100"/>
      </w:pPr>
      <w:r>
        <w:rPr>
          <w:sz w:val="22"/>
        </w:rPr>
        <w:t>The table stores the simulated price and the position-level contribution for every asset in every scenario. Keeping the simulation records in a separate table makes it possible to audit individual scenarios before they are aggregated to portfolio level.</w:t>
      </w:r>
    </w:p>
    <w:p>
      <w:r>
        <w:rPr>
          <w:b/>
          <w:sz w:val="26"/>
        </w:rPr>
        <w:t>19. Run GBM Simulation</w:t>
      </w:r>
    </w:p>
    <w:p>
      <w:pPr>
        <w:spacing w:after="100"/>
      </w:pPr>
      <w:r>
        <w:rPr>
          <w:sz w:val="22"/>
        </w:rPr>
        <w:t>A stored procedure can iterate through simulation identifiers and combine asset parameters with random shocks. For each asset, the procedure calculates a simulated price using the GBM equation and multiplies the price by the relevant holding quantity.</w:t>
      </w:r>
    </w:p>
    <w:p>
      <w:pPr>
        <w:spacing w:after="100"/>
      </w:pPr>
      <w:r>
        <w:rPr>
          <w:sz w:val="22"/>
        </w:rPr>
        <w:t>After all scenarios are processed, the result is a collection of alternative portfolio states. These scenarios form the empirical distribution from which the lower-tail risk measures are estimated.</w:t>
      </w:r>
    </w:p>
    <w:p>
      <w:r>
        <w:rPr>
          <w:b/>
          <w:sz w:val="26"/>
        </w:rPr>
        <w:t>20. Simulated Portfolio Values</w:t>
      </w:r>
    </w:p>
    <w:p>
      <w:pPr>
        <w:spacing w:after="100"/>
      </w:pPr>
      <w:r>
        <w:rPr>
          <w:sz w:val="22"/>
        </w:rPr>
        <w:t>Individual asset results are aggregated by simulation_id:</w:t>
      </w:r>
    </w:p>
    <w:p>
      <w:pPr>
        <w:spacing w:after="100"/>
      </w:pPr>
      <w:r>
        <w:rPr>
          <w:sz w:val="22"/>
        </w:rPr>
        <w:t>CREATE TABLE Simulation_Portfolio_Value (</w:t>
        <w:br/>
        <w:t xml:space="preserve">    simulation_id INT PRIMARY KEY,</w:t>
        <w:br/>
        <w:t xml:space="preserve">    portfolio_value DECIMAL(25,6)</w:t>
        <w:br/>
        <w:t>);</w:t>
      </w:r>
    </w:p>
    <w:p>
      <w:pPr>
        <w:spacing w:after="100"/>
      </w:pPr>
      <w:r>
        <w:rPr>
          <w:sz w:val="22"/>
        </w:rPr>
        <w:t>The aggregation converts hundreds of asset-level simulated prices into one portfolio value for each scenario. The resulting distribution can then be sorted to identify unusually poor and unusually strong outcomes.</w:t>
      </w:r>
    </w:p>
    <w:p>
      <w:r>
        <w:rPr>
          <w:b/>
          <w:sz w:val="26"/>
        </w:rPr>
        <w:t>21. Initial Portfolio Value</w:t>
      </w:r>
    </w:p>
    <w:p>
      <w:pPr>
        <w:spacing w:after="100"/>
      </w:pPr>
      <w:r>
        <w:rPr>
          <w:sz w:val="22"/>
        </w:rPr>
        <w:t>The starting portfolio value is calculated from initial prices and quantities:</w:t>
      </w:r>
    </w:p>
    <w:p>
      <w:pPr>
        <w:spacing w:after="100"/>
      </w:pPr>
      <w:r>
        <w:rPr>
          <w:sz w:val="22"/>
        </w:rPr>
        <w:t>Initial Portfolio Value = Σ (Initial Price × Quantity)</w:t>
      </w:r>
    </w:p>
    <w:p>
      <w:pPr>
        <w:spacing w:after="100"/>
      </w:pPr>
      <w:r>
        <w:rPr>
          <w:sz w:val="22"/>
        </w:rPr>
        <w:t>CREATE VIEW Initial_Portfolio_Value AS</w:t>
        <w:br/>
        <w:t>SELECT SUM(a.initial_price * p.quantity) AS initial_value</w:t>
        <w:br/>
        <w:t>FROM Assets a</w:t>
        <w:br/>
        <w:t>JOIN Portfolio_Holdings p</w:t>
        <w:br/>
        <w:t>ON a.asset_id = p.asset_id;</w:t>
      </w:r>
    </w:p>
    <w:p>
      <w:pPr>
        <w:spacing w:after="100"/>
      </w:pPr>
      <w:r>
        <w:rPr>
          <w:sz w:val="22"/>
        </w:rPr>
        <w:t>This value acts as the reference point for measuring simulated profit and loss.</w:t>
      </w:r>
    </w:p>
    <w:p>
      <w:r>
        <w:rPr>
          <w:b/>
          <w:sz w:val="26"/>
        </w:rPr>
        <w:t>22. Simulation Profit/Loss</w:t>
      </w:r>
    </w:p>
    <w:p>
      <w:pPr>
        <w:spacing w:after="100"/>
      </w:pPr>
      <w:r>
        <w:rPr>
          <w:sz w:val="22"/>
        </w:rPr>
        <w:t>For each scenario:</w:t>
      </w:r>
    </w:p>
    <w:p>
      <w:pPr>
        <w:spacing w:after="100"/>
      </w:pPr>
      <w:r>
        <w:rPr>
          <w:sz w:val="22"/>
        </w:rPr>
        <w:t>P&amp;L = Simulated Portfolio Value − Initial Portfolio Value</w:t>
      </w:r>
    </w:p>
    <w:p>
      <w:pPr>
        <w:spacing w:after="100"/>
      </w:pPr>
      <w:r>
        <w:rPr>
          <w:sz w:val="22"/>
        </w:rPr>
        <w:t>A positive P&amp;L indicates a simulated gain, while a negative P&amp;L indicates a simulated loss. Storing the P&amp;L distribution makes percentile-based risk calculations straightforward and allows best-case and worst-case scenarios to be inspected separately.</w:t>
      </w:r>
    </w:p>
    <w:p>
      <w:r>
        <w:rPr>
          <w:b/>
          <w:sz w:val="26"/>
        </w:rPr>
        <w:t>23. 99% Value-at-Risk</w:t>
      </w:r>
    </w:p>
    <w:p>
      <w:pPr>
        <w:spacing w:after="100"/>
      </w:pPr>
      <w:r>
        <w:rPr>
          <w:sz w:val="22"/>
        </w:rPr>
        <w:t>At a 99% confidence level, one-day VaR focuses on the lower 1% tail of the simulated P&amp;L distribution. With 1,000 scenarios, approximately the tenth observation after sorting the P&amp;L values from smallest to largest represents the empirical 1% position.</w:t>
      </w:r>
    </w:p>
    <w:p>
      <w:pPr>
        <w:spacing w:after="100"/>
      </w:pPr>
      <w:r>
        <w:rPr>
          <w:sz w:val="22"/>
        </w:rPr>
        <w:t>VaR is reported as a positive loss amount. It should be interpreted as a percentile-based estimate under the model assumptions, rather than as a guarantee that a larger loss cannot occur.</w:t>
      </w:r>
    </w:p>
    <w:p>
      <w:r>
        <w:rPr>
          <w:b/>
          <w:sz w:val="26"/>
        </w:rPr>
        <w:t>24. VaR Percentage</w:t>
      </w:r>
    </w:p>
    <w:p>
      <w:pPr>
        <w:spacing w:after="100"/>
      </w:pPr>
      <w:r>
        <w:rPr>
          <w:sz w:val="22"/>
        </w:rPr>
        <w:t>VaR can also be expressed relative to the starting portfolio:</w:t>
      </w:r>
    </w:p>
    <w:p>
      <w:pPr>
        <w:spacing w:after="100"/>
      </w:pPr>
      <w:r>
        <w:rPr>
          <w:sz w:val="22"/>
        </w:rPr>
        <w:t>VaR Percentage = (VaR / Initial Portfolio Value) × 100</w:t>
      </w:r>
    </w:p>
    <w:p>
      <w:pPr>
        <w:spacing w:after="100"/>
      </w:pPr>
      <w:r>
        <w:rPr>
          <w:sz w:val="22"/>
        </w:rPr>
        <w:t>This percentage makes the risk measure easier to compare with portfolios of different sizes. A higher percentage indicates greater estimated one-day downside exposure relative to the capital invested.</w:t>
      </w:r>
    </w:p>
    <w:p>
      <w:r>
        <w:rPr>
          <w:b/>
          <w:sz w:val="26"/>
        </w:rPr>
        <w:t>25. Expected Shortfall</w:t>
      </w:r>
    </w:p>
    <w:p>
      <w:pPr>
        <w:spacing w:after="100"/>
      </w:pPr>
      <w:r>
        <w:rPr>
          <w:sz w:val="22"/>
        </w:rPr>
        <w:t>Expected Shortfall measures the average loss among scenarios that fall inside the selected tail. At 99% confidence, the calculation can average the worst 1% of simulated outcomes.</w:t>
      </w:r>
    </w:p>
    <w:p>
      <w:pPr>
        <w:spacing w:after="100"/>
      </w:pPr>
      <w:r>
        <w:rPr>
          <w:sz w:val="22"/>
        </w:rPr>
        <w:t>Unlike VaR, which identifies a percentile boundary, Expected Shortfall provides information about the average severity of losses beyond that boundary. It is therefore a useful companion measure for understanding tail risk.</w:t>
      </w:r>
    </w:p>
    <w:p>
      <w:r>
        <w:rPr>
          <w:b/>
          <w:sz w:val="26"/>
        </w:rPr>
        <w:t>26. Best and Worst Simulations</w:t>
      </w:r>
    </w:p>
    <w:p>
      <w:pPr>
        <w:spacing w:after="100"/>
      </w:pPr>
      <w:r>
        <w:rPr>
          <w:sz w:val="22"/>
        </w:rPr>
        <w:t>Sorting the P&amp;L table provides two useful diagnostic cases:</w:t>
      </w:r>
    </w:p>
    <w:p>
      <w:pPr>
        <w:spacing w:after="100"/>
      </w:pPr>
      <w:r>
        <w:rPr>
          <w:sz w:val="22"/>
        </w:rPr>
        <w:t>Best scenario — the simulation with the largest positive P&amp;L.</w:t>
        <w:br/>
        <w:t>Worst scenario — the simulation with the most negative P&amp;L.</w:t>
      </w:r>
    </w:p>
    <w:p>
      <w:pPr>
        <w:spacing w:after="100"/>
      </w:pPr>
      <w:r>
        <w:rPr>
          <w:sz w:val="22"/>
        </w:rPr>
        <w:t>Reviewing these scenarios helps validate that the simulation produces plausible portfolio values and provides an intuitive view of how the portfolio behaves under different combinations of asset movements.</w:t>
      </w:r>
    </w:p>
    <w:p>
      <w:r>
        <w:rPr>
          <w:b/>
          <w:sz w:val="26"/>
        </w:rPr>
        <w:t>27. Sector Analysis</w:t>
      </w:r>
    </w:p>
    <w:p>
      <w:pPr>
        <w:spacing w:after="100"/>
      </w:pPr>
      <w:r>
        <w:rPr>
          <w:sz w:val="22"/>
        </w:rPr>
        <w:t>Sector analysis groups assets according to their business category and summarizes the number of assets, average drift, and average volatility.</w:t>
      </w:r>
    </w:p>
    <w:p>
      <w:pPr>
        <w:spacing w:after="100"/>
      </w:pPr>
      <w:r>
        <w:rPr>
          <w:sz w:val="22"/>
        </w:rPr>
        <w:t>SELECT sector,</w:t>
        <w:br/>
        <w:t xml:space="preserve">       COUNT(*) AS Number_Of_Assets,</w:t>
        <w:br/>
        <w:t xml:space="preserve">       AVG(annual_drift) AS Average_Drift,</w:t>
        <w:br/>
        <w:t xml:space="preserve">       AVG(annual_volatility) AS Average_Volatility</w:t>
        <w:br/>
        <w:t>FROM Assets</w:t>
        <w:br/>
        <w:t>GROUP BY sector</w:t>
        <w:br/>
        <w:t>ORDER BY Average_Volatility DESC;</w:t>
      </w:r>
    </w:p>
    <w:p>
      <w:pPr>
        <w:spacing w:after="100"/>
      </w:pPr>
      <w:r>
        <w:rPr>
          <w:sz w:val="22"/>
        </w:rPr>
        <w:t>This report highlights which sectors have higher average modelled volatility and can support further investigation of portfolio concentration and diversification.</w:t>
      </w:r>
    </w:p>
    <w:p>
      <w:r>
        <w:rPr>
          <w:b/>
          <w:sz w:val="26"/>
        </w:rPr>
        <w:t>28. Final Risk Report</w:t>
      </w:r>
    </w:p>
    <w:p>
      <w:pPr>
        <w:spacing w:after="100"/>
      </w:pPr>
      <w:r>
        <w:rPr>
          <w:sz w:val="22"/>
        </w:rPr>
        <w:t>The final report should consolidate the main indicators into one summary:</w:t>
      </w:r>
    </w:p>
    <w:p>
      <w:pPr>
        <w:spacing w:after="100"/>
      </w:pPr>
      <w:r>
        <w:rPr>
          <w:sz w:val="22"/>
        </w:rPr>
        <w:t>• Total assets</w:t>
        <w:br/>
        <w:t>• Number of historical price records</w:t>
        <w:br/>
        <w:t>• Covariance matrix dimensions</w:t>
        <w:br/>
        <w:t>• Number of Monte Carlo scenarios</w:t>
        <w:br/>
        <w:t>• Initial portfolio value</w:t>
        <w:br/>
        <w:t>• Average simulated portfolio value</w:t>
        <w:br/>
        <w:t>• Minimum simulated portfolio value</w:t>
        <w:br/>
        <w:t>• Maximum simulated portfolio value</w:t>
        <w:br/>
        <w:t>• 99% VaR</w:t>
        <w:br/>
        <w:t>• VaR percentage</w:t>
        <w:br/>
        <w:t>• 99% Expected Shortfall</w:t>
        <w:br/>
        <w:t>• Overall risk category</w:t>
      </w:r>
    </w:p>
    <w:p>
      <w:pPr>
        <w:spacing w:after="100"/>
      </w:pPr>
      <w:r>
        <w:rPr>
          <w:sz w:val="22"/>
        </w:rPr>
        <w:t>A single summary table makes the result easier to communicate to portfolio managers and decision-makers.</w:t>
      </w:r>
    </w:p>
    <w:p>
      <w:r>
        <w:rPr>
          <w:b/>
          <w:sz w:val="26"/>
        </w:rPr>
        <w:t>29. Risk Interpretation</w:t>
      </w:r>
    </w:p>
    <w:p>
      <w:pPr>
        <w:spacing w:after="100"/>
      </w:pPr>
      <w:r>
        <w:rPr>
          <w:sz w:val="22"/>
        </w:rPr>
        <w:t>The simulated risk figures should be interpreted together rather than in isolation. A 99% VaR estimates a loss threshold that is exceeded in approximately 1% of modelled one-day scenarios. Expected Shortfall indicates the average loss in that extreme tail. Sector volatility and covariance relationships provide additional context about the sources of portfolio risk.</w:t>
      </w:r>
    </w:p>
    <w:p>
      <w:pPr>
        <w:spacing w:after="100"/>
      </w:pPr>
      <w:r>
        <w:rPr>
          <w:sz w:val="22"/>
        </w:rPr>
        <w:t>Because the model uses assumptions and simulated data, the results represent model-based estimates. They should not be treated as predictions or guarantees of actual market losses.</w:t>
      </w:r>
    </w:p>
    <w:p>
      <w:r>
        <w:rPr>
          <w:b/>
          <w:sz w:val="26"/>
        </w:rPr>
        <w:t>30. Advantages</w:t>
      </w:r>
    </w:p>
    <w:p>
      <w:pPr>
        <w:spacing w:after="100"/>
      </w:pPr>
      <w:r>
        <w:rPr>
          <w:sz w:val="22"/>
        </w:rPr>
        <w:t>• Handles a large multi-asset portfolio in a structured database.</w:t>
        <w:br/>
        <w:t>• Connects historical returns with portfolio-level risk.</w:t>
        <w:br/>
        <w:t>• Uses covariance to represent asset relationships.</w:t>
        <w:br/>
        <w:t>• Produces many possible future scenarios through Monte Carlo simulation.</w:t>
        <w:br/>
        <w:t>• Provides both VaR and Expected Shortfall.</w:t>
        <w:br/>
        <w:t>• Supports automated SQL procedures.</w:t>
        <w:br/>
        <w:t>• Enables sector-level risk reporting.</w:t>
        <w:br/>
        <w:t>• Creates a foundation for dashboards and stress-testing workflows.</w:t>
      </w:r>
    </w:p>
    <w:p>
      <w:r>
        <w:rPr>
          <w:b/>
          <w:sz w:val="26"/>
        </w:rPr>
        <w:t>31. Limitations</w:t>
      </w:r>
    </w:p>
    <w:p>
      <w:pPr>
        <w:spacing w:after="100"/>
      </w:pPr>
      <w:r>
        <w:rPr>
          <w:sz w:val="22"/>
        </w:rPr>
        <w:t>• Illustrative generated prices do not represent verified market observations.</w:t>
        <w:br/>
        <w:t>• Historical relationships may not remain stable.</w:t>
        <w:br/>
        <w:t>• GBM simplifies real market behaviour.</w:t>
        <w:br/>
        <w:t>• Extreme jumps, volatility clustering, and other non-normal effects may be understated.</w:t>
        <w:br/>
        <w:t>• Cholesky decomposition requires a suitable covariance matrix.</w:t>
        <w:br/>
        <w:t>• Very large matrix calculations can be demanding in pure SQL.</w:t>
        <w:br/>
        <w:t>• Monte Carlo accuracy depends on the number and quality of simulations.</w:t>
        <w:br/>
        <w:t>• VaR alone does not describe the full severity of losses beyond its percentile.</w:t>
      </w:r>
    </w:p>
    <w:p>
      <w:r>
        <w:rPr>
          <w:b/>
          <w:sz w:val="26"/>
        </w:rPr>
        <w:t>32. Future Enhancements</w:t>
      </w:r>
    </w:p>
    <w:p>
      <w:pPr>
        <w:spacing w:after="100"/>
      </w:pPr>
      <w:r>
        <w:rPr>
          <w:sz w:val="22"/>
        </w:rPr>
        <w:t>• Replace generated prices with reliable real-market data.</w:t>
        <w:br/>
        <w:t>• Increase the number of Monte Carlo scenarios.</w:t>
        <w:br/>
        <w:t>• Add 95%, 99%, and 99.9% confidence levels.</w:t>
        <w:br/>
        <w:t>• Include rolling-volatility and rolling-covariance analysis.</w:t>
        <w:br/>
        <w:t>• Add stress scenarios for major market shocks.</w:t>
        <w:br/>
        <w:t>• Introduce portfolio optimization and rebalancing.</w:t>
        <w:br/>
        <w:t>• Calculate Sharpe ratio, beta, and other performance indicators.</w:t>
        <w:br/>
        <w:t>• Connect results to Power BI or Tableau dashboards.</w:t>
        <w:br/>
        <w:t>• Use Python or another numerical engine for large matrix operations.</w:t>
        <w:br/>
        <w:t>• Schedule automated daily risk reports.</w:t>
      </w:r>
    </w:p>
    <w:p>
      <w:r>
        <w:rPr>
          <w:b/>
          <w:sz w:val="26"/>
        </w:rPr>
        <w:t>33. Conclusion</w:t>
      </w:r>
    </w:p>
    <w:p>
      <w:pPr>
        <w:spacing w:after="100"/>
      </w:pPr>
      <w:r>
        <w:rPr>
          <w:sz w:val="22"/>
        </w:rPr>
        <w:t>The Dynamic Portfolio Risk Arbitrage &amp; Value-at-Risk Monte Carlo Simulator demonstrates a complete Business Analytics workflow for portfolio risk measurement. The system connects database design, historical return analysis, covariance estimation, correlated random shocks, GBM price modelling, Monte Carlo scenario generation, portfolio P&amp;L calculation, VaR, Expected Shortfall, and sector reporting. By organizing each stage into a clear SQL-based pipeline, the project provides a practical foundation for extending the analysis toward real market data, stress testing, optimization, and automated financial-risk dashboards.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