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36"/>
        </w:rPr>
        <w:t>WEEK-6 TASK – BA</w:t>
      </w:r>
    </w:p>
    <w:p>
      <w:pPr>
        <w:jc w:val="center"/>
      </w:pPr>
      <w:r>
        <w:rPr>
          <w:b/>
          <w:sz w:val="42"/>
        </w:rPr>
        <w:t>Multi-Channel Marketing Attribution with High-Dimensional Markov Chain Transitions</w:t>
      </w:r>
    </w:p>
    <w:p>
      <w:pPr>
        <w:jc w:val="center"/>
      </w:pPr>
      <w:r>
        <w:rPr>
          <w:sz w:val="26"/>
        </w:rPr>
        <w:t>Complete Assignment – Analysis, Methodology, Sample Results and Interpretation</w:t>
      </w:r>
    </w:p>
    <w:p/>
    <w:p/>
    <w:p/>
    <w:p/>
    <w:p/>
    <w:p>
      <w:pPr>
        <w:jc w:val="center"/>
      </w:pPr>
      <w:r>
        <w:rPr>
          <w:b/>
        </w:rPr>
        <w:t>Business Analytics Assignment</w:t>
      </w:r>
    </w:p>
    <w:p>
      <w:pPr>
        <w:jc w:val="center"/>
      </w:pPr>
      <w:r>
        <w:t>Markov Chain based customer-journey attribution</w:t>
      </w:r>
    </w:p>
    <w:p>
      <w:r>
        <w:br w:type="page"/>
      </w:r>
    </w:p>
    <w:p>
      <w:pPr>
        <w:pStyle w:val="Heading1"/>
      </w:pPr>
      <w:r>
        <w:t>Table of Contents</w:t>
      </w:r>
    </w:p>
    <w:p>
      <w:pPr>
        <w:spacing w:after="120"/>
      </w:pPr>
      <w:r>
        <w:t>1. Abstract</w:t>
      </w:r>
    </w:p>
    <w:p>
      <w:pPr>
        <w:spacing w:after="120"/>
      </w:pPr>
      <w:r>
        <w:t>2. Problem Statement</w:t>
      </w:r>
    </w:p>
    <w:p>
      <w:pPr>
        <w:spacing w:after="120"/>
      </w:pPr>
      <w:r>
        <w:t>3. Objectives</w:t>
      </w:r>
    </w:p>
    <w:p>
      <w:pPr>
        <w:spacing w:after="120"/>
      </w:pPr>
      <w:r>
        <w:t>4. Scope of the Study</w:t>
      </w:r>
    </w:p>
    <w:p>
      <w:pPr>
        <w:spacing w:after="120"/>
      </w:pPr>
      <w:r>
        <w:t>5. Marketing Channels</w:t>
      </w:r>
    </w:p>
    <w:p>
      <w:pPr>
        <w:spacing w:after="120"/>
      </w:pPr>
      <w:r>
        <w:t>6. System Architecture</w:t>
      </w:r>
    </w:p>
    <w:p>
      <w:pPr>
        <w:spacing w:after="120"/>
      </w:pPr>
      <w:r>
        <w:t>7. Data and Conceptual Design</w:t>
      </w:r>
    </w:p>
    <w:p>
      <w:pPr>
        <w:spacing w:after="120"/>
      </w:pPr>
      <w:r>
        <w:t>8. Markov Chain Methodology</w:t>
      </w:r>
    </w:p>
    <w:p>
      <w:pPr>
        <w:spacing w:after="120"/>
      </w:pPr>
      <w:r>
        <w:t>9. Transition Probability Matrix</w:t>
      </w:r>
    </w:p>
    <w:p>
      <w:pPr>
        <w:spacing w:after="120"/>
      </w:pPr>
      <w:r>
        <w:t>10. Conversion Probability</w:t>
      </w:r>
    </w:p>
    <w:p>
      <w:pPr>
        <w:spacing w:after="120"/>
      </w:pPr>
      <w:r>
        <w:t>11. Removal Effect</w:t>
      </w:r>
    </w:p>
    <w:p>
      <w:pPr>
        <w:spacing w:after="120"/>
      </w:pPr>
      <w:r>
        <w:t>12. Step-by-Step Working</w:t>
      </w:r>
    </w:p>
    <w:p>
      <w:pPr>
        <w:spacing w:after="120"/>
      </w:pPr>
      <w:r>
        <w:t>13. Sample Customer Journey Data</w:t>
      </w:r>
    </w:p>
    <w:p>
      <w:pPr>
        <w:spacing w:after="120"/>
      </w:pPr>
      <w:r>
        <w:t>14. Sample Transition Results</w:t>
      </w:r>
    </w:p>
    <w:p>
      <w:pPr>
        <w:spacing w:after="120"/>
      </w:pPr>
      <w:r>
        <w:t>15. Sample Removal-Effect Results</w:t>
      </w:r>
    </w:p>
    <w:p>
      <w:pPr>
        <w:spacing w:after="120"/>
      </w:pPr>
      <w:r>
        <w:t>16. Interpretation and Business Insights</w:t>
      </w:r>
    </w:p>
    <w:p>
      <w:pPr>
        <w:spacing w:after="120"/>
      </w:pPr>
      <w:r>
        <w:t>17. Handling 15 Million Path Logs</w:t>
      </w:r>
    </w:p>
    <w:p>
      <w:pPr>
        <w:spacing w:after="120"/>
      </w:pPr>
      <w:r>
        <w:t>18. Advantages</w:t>
      </w:r>
    </w:p>
    <w:p>
      <w:pPr>
        <w:spacing w:after="120"/>
      </w:pPr>
      <w:r>
        <w:t>19. Limitations</w:t>
      </w:r>
    </w:p>
    <w:p>
      <w:pPr>
        <w:spacing w:after="120"/>
      </w:pPr>
      <w:r>
        <w:t>20. Conclusion</w:t>
      </w:r>
    </w:p>
    <w:p>
      <w:pPr>
        <w:spacing w:after="120"/>
      </w:pPr>
      <w:r>
        <w:t>21. Viva Questions and Answers</w:t>
      </w:r>
    </w:p>
    <w:p>
      <w:r>
        <w:br w:type="page"/>
      </w:r>
    </w:p>
    <w:p>
      <w:pPr>
        <w:pStyle w:val="Heading1"/>
      </w:pPr>
      <w:r>
        <w:t>1. Abstract</w:t>
      </w:r>
    </w:p>
    <w:p>
      <w:pPr>
        <w:spacing w:after="120"/>
      </w:pPr>
      <w:r>
        <w:t>This project develops a multi-channel marketing attribution model using a Markov Chain. Customer journeys are represented as ordered sequences of marketing-channel touches that end in either conversion or non-conversion. The model uses observed movement between channels to estimate transition probabilities. A baseline conversion probability is then compared with the conversion probability obtained after systematically removing each channel. The relative reduction is called the Removal Effect. This approach gives a journey-based view of channel importance instead of assigning all credit to the last touch. The assignment is designed for a high-dimensional workload containing up to 15 million path logs, while the sample data below is intentionally small for demonstration.</w:t>
      </w:r>
    </w:p>
    <w:p>
      <w:pPr>
        <w:pStyle w:val="Heading1"/>
      </w:pPr>
      <w:r>
        <w:t>2. Problem Statement</w:t>
      </w:r>
    </w:p>
    <w:p>
      <w:pPr>
        <w:spacing w:after="120"/>
      </w:pPr>
      <w:r>
        <w:t>Digital customers commonly interact with several marketing channels before making a purchase. A last-touch method gives all credit to the final interaction and may understate the value of earlier interactions. The objective of this project is to model the complete customer path, estimate transition probabilities, measure the probability of conversion, and quantify the contribution of each channel by observing how much conversion probability falls when that channel is removed.</w:t>
      </w:r>
    </w:p>
    <w:p>
      <w:pPr>
        <w:pStyle w:val="Heading1"/>
      </w:pPr>
      <w:r>
        <w:t>3. Objectives</w:t>
      </w:r>
    </w:p>
    <w:p>
      <w:pPr>
        <w:pStyle w:val="ListBullet"/>
        <w:spacing w:after="60"/>
      </w:pPr>
      <w:r>
        <w:t>Store and analyze large-scale customer journey or path logs.</w:t>
      </w:r>
    </w:p>
    <w:p>
      <w:pPr>
        <w:pStyle w:val="ListBullet"/>
        <w:spacing w:after="60"/>
      </w:pPr>
      <w:r>
        <w:t>Represent marketing-channel touches as ordered states in a journey graph.</w:t>
      </w:r>
    </w:p>
    <w:p>
      <w:pPr>
        <w:pStyle w:val="ListBullet"/>
        <w:spacing w:after="60"/>
      </w:pPr>
      <w:r>
        <w:t>Construct a transition probability matrix from observed channel-to-channel movement.</w:t>
      </w:r>
    </w:p>
    <w:p>
      <w:pPr>
        <w:pStyle w:val="ListBullet"/>
        <w:spacing w:after="60"/>
      </w:pPr>
      <w:r>
        <w:t>Calculate a baseline probability of conversion.</w:t>
      </w:r>
    </w:p>
    <w:p>
      <w:pPr>
        <w:pStyle w:val="ListBullet"/>
        <w:spacing w:after="60"/>
      </w:pPr>
      <w:r>
        <w:t>Remove each marketing channel and recalculate conversion probability.</w:t>
      </w:r>
    </w:p>
    <w:p>
      <w:pPr>
        <w:pStyle w:val="ListBullet"/>
        <w:spacing w:after="60"/>
      </w:pPr>
      <w:r>
        <w:t>Compute the Removal Effect and rank channels by contribution.</w:t>
      </w:r>
    </w:p>
    <w:p>
      <w:pPr>
        <w:pStyle w:val="ListBullet"/>
        <w:spacing w:after="60"/>
      </w:pPr>
      <w:r>
        <w:t>Produce clear analytical results that support marketing decisions.</w:t>
      </w:r>
    </w:p>
    <w:p>
      <w:pPr>
        <w:pStyle w:val="Heading1"/>
      </w:pPr>
      <w:r>
        <w:t>4. Scope of the Study</w:t>
      </w:r>
    </w:p>
    <w:p>
      <w:pPr>
        <w:spacing w:after="120"/>
      </w:pPr>
      <w:r>
        <w:t>The study covers customer-path data, channel transitions, absorbing outcomes, conversion probability, channel-removal simulation, and business interpretation. It focuses on attribution measurement rather than causal experimentation.</w:t>
      </w:r>
    </w:p>
    <w:p>
      <w:pPr>
        <w:pStyle w:val="Heading1"/>
      </w:pPr>
      <w:r>
        <w:t>5. Marketing Channels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Code</w:t>
            </w:r>
          </w:p>
        </w:tc>
        <w:tc>
          <w:tcPr>
            <w:tcW w:type="dxa" w:w="3312"/>
            <w:vAlign w:val="center"/>
            <w:shd w:fill="D9EAF7"/>
          </w:tcPr>
          <w:p>
            <w:r/>
            <w:r>
              <w:rPr>
                <w:b/>
                <w:sz w:val="20"/>
              </w:rPr>
              <w:t>Channel</w:t>
            </w:r>
          </w:p>
        </w:tc>
        <w:tc>
          <w:tcPr>
            <w:tcW w:type="dxa" w:w="3312"/>
            <w:vAlign w:val="center"/>
            <w:shd w:fill="D9EAF7"/>
          </w:tcPr>
          <w:p>
            <w:r/>
            <w:r>
              <w:rPr>
                <w:b/>
                <w:sz w:val="20"/>
              </w:rPr>
              <w:t>Description</w:t>
            </w:r>
          </w:p>
        </w:tc>
      </w:tr>
      <w:tr>
        <w:tc>
          <w:tcPr>
            <w:tcW w:type="dxa" w:w="3312"/>
            <w:vAlign w:val="center"/>
          </w:tcPr>
          <w:p>
            <w:r/>
            <w:r>
              <w:rPr>
                <w:b w:val="0"/>
                <w:sz w:val="19"/>
              </w:rPr>
              <w:t>ORG</w:t>
            </w:r>
          </w:p>
        </w:tc>
        <w:tc>
          <w:tcPr>
            <w:tcW w:type="dxa" w:w="3312"/>
            <w:vAlign w:val="center"/>
          </w:tcPr>
          <w:p>
            <w:r/>
            <w:r>
              <w:rPr>
                <w:b w:val="0"/>
                <w:sz w:val="19"/>
              </w:rPr>
              <w:t>Organic Search</w:t>
            </w:r>
          </w:p>
        </w:tc>
        <w:tc>
          <w:tcPr>
            <w:tcW w:type="dxa" w:w="3312"/>
            <w:vAlign w:val="center"/>
          </w:tcPr>
          <w:p>
            <w:r/>
            <w:r>
              <w:rPr>
                <w:b w:val="0"/>
                <w:sz w:val="19"/>
              </w:rPr>
              <w:t>Unpaid search traffic</w:t>
            </w:r>
          </w:p>
        </w:tc>
      </w:tr>
      <w:tr>
        <w:tc>
          <w:tcPr>
            <w:tcW w:type="dxa" w:w="3312"/>
            <w:vAlign w:val="center"/>
          </w:tcPr>
          <w:p>
            <w:r/>
            <w:r>
              <w:rPr>
                <w:b w:val="0"/>
                <w:sz w:val="19"/>
              </w:rPr>
              <w:t>PAID</w:t>
            </w:r>
          </w:p>
        </w:tc>
        <w:tc>
          <w:tcPr>
            <w:tcW w:type="dxa" w:w="3312"/>
            <w:vAlign w:val="center"/>
          </w:tcPr>
          <w:p>
            <w:r/>
            <w:r>
              <w:rPr>
                <w:b w:val="0"/>
                <w:sz w:val="19"/>
              </w:rPr>
              <w:t>Paid Search</w:t>
            </w:r>
          </w:p>
        </w:tc>
        <w:tc>
          <w:tcPr>
            <w:tcW w:type="dxa" w:w="3312"/>
            <w:vAlign w:val="center"/>
          </w:tcPr>
          <w:p>
            <w:r/>
            <w:r>
              <w:rPr>
                <w:b w:val="0"/>
                <w:sz w:val="19"/>
              </w:rPr>
              <w:t>Search-engine advertising</w:t>
            </w:r>
          </w:p>
        </w:tc>
      </w:tr>
      <w:tr>
        <w:tc>
          <w:tcPr>
            <w:tcW w:type="dxa" w:w="3312"/>
            <w:vAlign w:val="center"/>
          </w:tcPr>
          <w:p>
            <w:r/>
            <w:r>
              <w:rPr>
                <w:b w:val="0"/>
                <w:sz w:val="19"/>
              </w:rPr>
              <w:t>SOC</w:t>
            </w:r>
          </w:p>
        </w:tc>
        <w:tc>
          <w:tcPr>
            <w:tcW w:type="dxa" w:w="3312"/>
            <w:vAlign w:val="center"/>
          </w:tcPr>
          <w:p>
            <w:r/>
            <w:r>
              <w:rPr>
                <w:b w:val="0"/>
                <w:sz w:val="19"/>
              </w:rPr>
              <w:t>Social Media</w:t>
            </w:r>
          </w:p>
        </w:tc>
        <w:tc>
          <w:tcPr>
            <w:tcW w:type="dxa" w:w="3312"/>
            <w:vAlign w:val="center"/>
          </w:tcPr>
          <w:p>
            <w:r/>
            <w:r>
              <w:rPr>
                <w:b w:val="0"/>
                <w:sz w:val="19"/>
              </w:rPr>
              <w:t>Social network campaigns</w:t>
            </w:r>
          </w:p>
        </w:tc>
      </w:tr>
      <w:tr>
        <w:tc>
          <w:tcPr>
            <w:tcW w:type="dxa" w:w="3312"/>
            <w:vAlign w:val="center"/>
          </w:tcPr>
          <w:p>
            <w:r/>
            <w:r>
              <w:rPr>
                <w:b w:val="0"/>
                <w:sz w:val="19"/>
              </w:rPr>
              <w:t>EMAIL</w:t>
            </w:r>
          </w:p>
        </w:tc>
        <w:tc>
          <w:tcPr>
            <w:tcW w:type="dxa" w:w="3312"/>
            <w:vAlign w:val="center"/>
          </w:tcPr>
          <w:p>
            <w:r/>
            <w:r>
              <w:rPr>
                <w:b w:val="0"/>
                <w:sz w:val="19"/>
              </w:rPr>
              <w:t>Email</w:t>
            </w:r>
          </w:p>
        </w:tc>
        <w:tc>
          <w:tcPr>
            <w:tcW w:type="dxa" w:w="3312"/>
            <w:vAlign w:val="center"/>
          </w:tcPr>
          <w:p>
            <w:r/>
            <w:r>
              <w:rPr>
                <w:b w:val="0"/>
                <w:sz w:val="19"/>
              </w:rPr>
              <w:t>Email marketing</w:t>
            </w:r>
          </w:p>
        </w:tc>
      </w:tr>
      <w:tr>
        <w:tc>
          <w:tcPr>
            <w:tcW w:type="dxa" w:w="3312"/>
            <w:vAlign w:val="center"/>
          </w:tcPr>
          <w:p>
            <w:r/>
            <w:r>
              <w:rPr>
                <w:b w:val="0"/>
                <w:sz w:val="19"/>
              </w:rPr>
              <w:t>DISPLAY</w:t>
            </w:r>
          </w:p>
        </w:tc>
        <w:tc>
          <w:tcPr>
            <w:tcW w:type="dxa" w:w="3312"/>
            <w:vAlign w:val="center"/>
          </w:tcPr>
          <w:p>
            <w:r/>
            <w:r>
              <w:rPr>
                <w:b w:val="0"/>
                <w:sz w:val="19"/>
              </w:rPr>
              <w:t>Display Ads</w:t>
            </w:r>
          </w:p>
        </w:tc>
        <w:tc>
          <w:tcPr>
            <w:tcW w:type="dxa" w:w="3312"/>
            <w:vAlign w:val="center"/>
          </w:tcPr>
          <w:p>
            <w:r/>
            <w:r>
              <w:rPr>
                <w:b w:val="0"/>
                <w:sz w:val="19"/>
              </w:rPr>
              <w:t>Banner/display advertising</w:t>
            </w:r>
          </w:p>
        </w:tc>
      </w:tr>
      <w:tr>
        <w:tc>
          <w:tcPr>
            <w:tcW w:type="dxa" w:w="3312"/>
            <w:vAlign w:val="center"/>
          </w:tcPr>
          <w:p>
            <w:r/>
            <w:r>
              <w:rPr>
                <w:b w:val="0"/>
                <w:sz w:val="19"/>
              </w:rPr>
              <w:t>REF</w:t>
            </w:r>
          </w:p>
        </w:tc>
        <w:tc>
          <w:tcPr>
            <w:tcW w:type="dxa" w:w="3312"/>
            <w:vAlign w:val="center"/>
          </w:tcPr>
          <w:p>
            <w:r/>
            <w:r>
              <w:rPr>
                <w:b w:val="0"/>
                <w:sz w:val="19"/>
              </w:rPr>
              <w:t>Referral</w:t>
            </w:r>
          </w:p>
        </w:tc>
        <w:tc>
          <w:tcPr>
            <w:tcW w:type="dxa" w:w="3312"/>
            <w:vAlign w:val="center"/>
          </w:tcPr>
          <w:p>
            <w:r/>
            <w:r>
              <w:rPr>
                <w:b w:val="0"/>
                <w:sz w:val="19"/>
              </w:rPr>
              <w:t>Partner or referral traffic</w:t>
            </w:r>
          </w:p>
        </w:tc>
      </w:tr>
      <w:tr>
        <w:tc>
          <w:tcPr>
            <w:tcW w:type="dxa" w:w="3312"/>
            <w:vAlign w:val="center"/>
          </w:tcPr>
          <w:p>
            <w:r/>
            <w:r>
              <w:rPr>
                <w:b w:val="0"/>
                <w:sz w:val="19"/>
              </w:rPr>
              <w:t>DIRECT</w:t>
            </w:r>
          </w:p>
        </w:tc>
        <w:tc>
          <w:tcPr>
            <w:tcW w:type="dxa" w:w="3312"/>
            <w:vAlign w:val="center"/>
          </w:tcPr>
          <w:p>
            <w:r/>
            <w:r>
              <w:rPr>
                <w:b w:val="0"/>
                <w:sz w:val="19"/>
              </w:rPr>
              <w:t>Direct</w:t>
            </w:r>
          </w:p>
        </w:tc>
        <w:tc>
          <w:tcPr>
            <w:tcW w:type="dxa" w:w="3312"/>
            <w:vAlign w:val="center"/>
          </w:tcPr>
          <w:p>
            <w:r/>
            <w:r>
              <w:rPr>
                <w:b w:val="0"/>
                <w:sz w:val="19"/>
              </w:rPr>
              <w:t>Direct visits</w:t>
            </w:r>
          </w:p>
        </w:tc>
      </w:tr>
      <w:tr>
        <w:tc>
          <w:tcPr>
            <w:tcW w:type="dxa" w:w="3312"/>
            <w:vAlign w:val="center"/>
          </w:tcPr>
          <w:p>
            <w:r/>
            <w:r>
              <w:rPr>
                <w:b w:val="0"/>
                <w:sz w:val="19"/>
              </w:rPr>
              <w:t>CONV</w:t>
            </w:r>
          </w:p>
        </w:tc>
        <w:tc>
          <w:tcPr>
            <w:tcW w:type="dxa" w:w="3312"/>
            <w:vAlign w:val="center"/>
          </w:tcPr>
          <w:p>
            <w:r/>
            <w:r>
              <w:rPr>
                <w:b w:val="0"/>
                <w:sz w:val="19"/>
              </w:rPr>
              <w:t>Conversion</w:t>
            </w:r>
          </w:p>
        </w:tc>
        <w:tc>
          <w:tcPr>
            <w:tcW w:type="dxa" w:w="3312"/>
            <w:vAlign w:val="center"/>
          </w:tcPr>
          <w:p>
            <w:r/>
            <w:r>
              <w:rPr>
                <w:b w:val="0"/>
                <w:sz w:val="19"/>
              </w:rPr>
              <w:t>Successful conversion; absorbing state</w:t>
            </w:r>
          </w:p>
        </w:tc>
      </w:tr>
      <w:tr>
        <w:tc>
          <w:tcPr>
            <w:tcW w:type="dxa" w:w="3312"/>
            <w:vAlign w:val="center"/>
          </w:tcPr>
          <w:p>
            <w:r/>
            <w:r>
              <w:rPr>
                <w:b w:val="0"/>
                <w:sz w:val="19"/>
              </w:rPr>
              <w:t>NULL</w:t>
            </w:r>
          </w:p>
        </w:tc>
        <w:tc>
          <w:tcPr>
            <w:tcW w:type="dxa" w:w="3312"/>
            <w:vAlign w:val="center"/>
          </w:tcPr>
          <w:p>
            <w:r/>
            <w:r>
              <w:rPr>
                <w:b w:val="0"/>
                <w:sz w:val="19"/>
              </w:rPr>
              <w:t>Null</w:t>
            </w:r>
          </w:p>
        </w:tc>
        <w:tc>
          <w:tcPr>
            <w:tcW w:type="dxa" w:w="3312"/>
            <w:vAlign w:val="center"/>
          </w:tcPr>
          <w:p>
            <w:r/>
            <w:r>
              <w:rPr>
                <w:b w:val="0"/>
                <w:sz w:val="19"/>
              </w:rPr>
              <w:t>Non-conversion; absorbing state</w:t>
            </w:r>
          </w:p>
        </w:tc>
      </w:tr>
    </w:tbl>
    <w:p>
      <w:pPr>
        <w:spacing w:after="120"/>
      </w:pPr>
      <w:r>
        <w:t>The states CONV and NULL are treated as absorbing outcomes. Once a journey reaches one of these outcomes, it does not move to another marketing state.</w:t>
      </w:r>
    </w:p>
    <w:p>
      <w:pPr>
        <w:pStyle w:val="Heading1"/>
      </w:pPr>
      <w:r>
        <w:t>6. System Architecture</w:t>
      </w:r>
    </w:p>
    <w:p>
      <w:pPr>
        <w:spacing w:after="120"/>
      </w:pPr>
      <w:r>
        <w:t>The conceptual workflow is: Data Source → Raw Path Logs → Cleaned Journey Events → Transition Counts → Transition Probability Matrix → Markov Chain Conversion Probability → Channel Removal Simulation → Removal Effect Report.</w:t>
      </w:r>
    </w:p>
    <w:p>
      <w:pPr>
        <w:spacing w:after="120"/>
      </w:pPr>
      <w:r>
        <w:t>The important design principle is to separate detailed journey events from aggregated transition information. This makes repeated attribution analysis more efficient because the Markov calculations can operate on a much smaller transition graph after aggregation.</w:t>
      </w:r>
    </w:p>
    <w:p>
      <w:pPr>
        <w:pStyle w:val="Heading1"/>
      </w:pPr>
      <w:r>
        <w:t>7. Data and Conceptual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Entity / Dataset</w:t>
            </w:r>
          </w:p>
        </w:tc>
        <w:tc>
          <w:tcPr>
            <w:tcW w:type="dxa" w:w="3312"/>
            <w:vAlign w:val="center"/>
            <w:shd w:fill="D9EAF7"/>
          </w:tcPr>
          <w:p>
            <w:r/>
            <w:r>
              <w:rPr>
                <w:b/>
                <w:sz w:val="20"/>
              </w:rPr>
              <w:t>Purpose</w:t>
            </w:r>
          </w:p>
        </w:tc>
        <w:tc>
          <w:tcPr>
            <w:tcW w:type="dxa" w:w="3312"/>
            <w:vAlign w:val="center"/>
            <w:shd w:fill="D9EAF7"/>
          </w:tcPr>
          <w:p>
            <w:r/>
            <w:r>
              <w:rPr>
                <w:b/>
                <w:sz w:val="20"/>
              </w:rPr>
              <w:t>Important Fields</w:t>
            </w:r>
          </w:p>
        </w:tc>
      </w:tr>
      <w:tr>
        <w:tc>
          <w:tcPr>
            <w:tcW w:type="dxa" w:w="3312"/>
            <w:vAlign w:val="center"/>
          </w:tcPr>
          <w:p>
            <w:r/>
            <w:r>
              <w:rPr>
                <w:b w:val="0"/>
                <w:sz w:val="19"/>
              </w:rPr>
              <w:t>Customer Path</w:t>
            </w:r>
          </w:p>
        </w:tc>
        <w:tc>
          <w:tcPr>
            <w:tcW w:type="dxa" w:w="3312"/>
            <w:vAlign w:val="center"/>
          </w:tcPr>
          <w:p>
            <w:r/>
            <w:r>
              <w:rPr>
                <w:b w:val="0"/>
                <w:sz w:val="19"/>
              </w:rPr>
              <w:t>Represents one customer journey</w:t>
            </w:r>
          </w:p>
        </w:tc>
        <w:tc>
          <w:tcPr>
            <w:tcW w:type="dxa" w:w="3312"/>
            <w:vAlign w:val="center"/>
          </w:tcPr>
          <w:p>
            <w:r/>
            <w:r>
              <w:rPr>
                <w:b w:val="0"/>
                <w:sz w:val="19"/>
              </w:rPr>
              <w:t>Path ID, Customer ID, Session Date, Conversion Flag</w:t>
            </w:r>
          </w:p>
        </w:tc>
      </w:tr>
      <w:tr>
        <w:tc>
          <w:tcPr>
            <w:tcW w:type="dxa" w:w="3312"/>
            <w:vAlign w:val="center"/>
          </w:tcPr>
          <w:p>
            <w:r/>
            <w:r>
              <w:rPr>
                <w:b w:val="0"/>
                <w:sz w:val="19"/>
              </w:rPr>
              <w:t>Journey Event</w:t>
            </w:r>
          </w:p>
        </w:tc>
        <w:tc>
          <w:tcPr>
            <w:tcW w:type="dxa" w:w="3312"/>
            <w:vAlign w:val="center"/>
          </w:tcPr>
          <w:p>
            <w:r/>
            <w:r>
              <w:rPr>
                <w:b w:val="0"/>
                <w:sz w:val="19"/>
              </w:rPr>
              <w:t>Stores the ordered channel touches</w:t>
            </w:r>
          </w:p>
        </w:tc>
        <w:tc>
          <w:tcPr>
            <w:tcW w:type="dxa" w:w="3312"/>
            <w:vAlign w:val="center"/>
          </w:tcPr>
          <w:p>
            <w:r/>
            <w:r>
              <w:rPr>
                <w:b w:val="0"/>
                <w:sz w:val="19"/>
              </w:rPr>
              <w:t>Path ID, Step Number, Channel, Event Time</w:t>
            </w:r>
          </w:p>
        </w:tc>
      </w:tr>
      <w:tr>
        <w:tc>
          <w:tcPr>
            <w:tcW w:type="dxa" w:w="3312"/>
            <w:vAlign w:val="center"/>
          </w:tcPr>
          <w:p>
            <w:r/>
            <w:r>
              <w:rPr>
                <w:b w:val="0"/>
                <w:sz w:val="19"/>
              </w:rPr>
              <w:t>Transition Counts</w:t>
            </w:r>
          </w:p>
        </w:tc>
        <w:tc>
          <w:tcPr>
            <w:tcW w:type="dxa" w:w="3312"/>
            <w:vAlign w:val="center"/>
          </w:tcPr>
          <w:p>
            <w:r/>
            <w:r>
              <w:rPr>
                <w:b w:val="0"/>
                <w:sz w:val="19"/>
              </w:rPr>
              <w:t>Stores how often one state moves to another</w:t>
            </w:r>
          </w:p>
        </w:tc>
        <w:tc>
          <w:tcPr>
            <w:tcW w:type="dxa" w:w="3312"/>
            <w:vAlign w:val="center"/>
          </w:tcPr>
          <w:p>
            <w:r/>
            <w:r>
              <w:rPr>
                <w:b w:val="0"/>
                <w:sz w:val="19"/>
              </w:rPr>
              <w:t>From State, To State, Count</w:t>
            </w:r>
          </w:p>
        </w:tc>
      </w:tr>
      <w:tr>
        <w:tc>
          <w:tcPr>
            <w:tcW w:type="dxa" w:w="3312"/>
            <w:vAlign w:val="center"/>
          </w:tcPr>
          <w:p>
            <w:r/>
            <w:r>
              <w:rPr>
                <w:b w:val="0"/>
                <w:sz w:val="19"/>
              </w:rPr>
              <w:t>Transition Probabilities</w:t>
            </w:r>
          </w:p>
        </w:tc>
        <w:tc>
          <w:tcPr>
            <w:tcW w:type="dxa" w:w="3312"/>
            <w:vAlign w:val="center"/>
          </w:tcPr>
          <w:p>
            <w:r/>
            <w:r>
              <w:rPr>
                <w:b w:val="0"/>
                <w:sz w:val="19"/>
              </w:rPr>
              <w:t>Stores normalized movement probabilities</w:t>
            </w:r>
          </w:p>
        </w:tc>
        <w:tc>
          <w:tcPr>
            <w:tcW w:type="dxa" w:w="3312"/>
            <w:vAlign w:val="center"/>
          </w:tcPr>
          <w:p>
            <w:r/>
            <w:r>
              <w:rPr>
                <w:b w:val="0"/>
                <w:sz w:val="19"/>
              </w:rPr>
              <w:t>From State, To State, Probability</w:t>
            </w:r>
          </w:p>
        </w:tc>
      </w:tr>
    </w:tbl>
    <w:p>
      <w:pPr>
        <w:spacing w:after="120"/>
      </w:pPr>
      <w:r>
        <w:t>The conceptual data model follows the journey from an individual path to ordered events, then to aggregated transitions, and finally to probabilities. No program implementation is required for this assignment; the focus is on the analytical design and interpretation.</w:t>
      </w:r>
    </w:p>
    <w:p>
      <w:pPr>
        <w:pStyle w:val="Heading1"/>
      </w:pPr>
      <w:r>
        <w:t>8. Markov Chain Methodology</w:t>
      </w:r>
    </w:p>
    <w:p>
      <w:pPr>
        <w:spacing w:after="120"/>
      </w:pPr>
      <w:r>
        <w:t>A Markov Chain is a stochastic model in which the probability of the next state depends on the current state and the estimated transition probabilities. In this project, each marketing channel is treated as a state. A journey can therefore be represented as Start → Channel 1 → Channel 2 → … → Conversion or Null.</w:t>
      </w:r>
    </w:p>
    <w:p>
      <w:pPr>
        <w:spacing w:after="120"/>
      </w:pPr>
      <w:r>
        <w:t>The model contains transient states (marketing channels) and absorbing states (CONV and NULL). Transition counts are first obtained from observed journeys. Each count is divided by the total outgoing count from the same source state to produce a probability.</w:t>
      </w:r>
    </w:p>
    <w:p>
      <w:pPr>
        <w:spacing w:after="120"/>
      </w:pPr>
      <w:r>
        <w:t>For an absorbing Markov Chain, the transient-state matrix is represented by Q and the transition from transient states to absorbing states by R. The fundamental matrix is N = (I − Q)^−1, and the absorption probability is B = N × R.</w:t>
      </w:r>
    </w:p>
    <w:p>
      <w:pPr>
        <w:pStyle w:val="Heading1"/>
      </w:pPr>
      <w:r>
        <w:t>9. Transition Probability Matrix</w:t>
      </w:r>
    </w:p>
    <w:p>
      <w:pPr>
        <w:spacing w:after="120"/>
      </w:pPr>
      <w:r>
        <w:t>For a source state i and destination state j, the transition probability is:</w:t>
      </w:r>
    </w:p>
    <w:p>
      <w:pPr>
        <w:jc w:val="center"/>
      </w:pPr>
      <w:r>
        <w:rPr>
          <w:b/>
          <w:sz w:val="26"/>
        </w:rPr>
        <w:t>P(i → j) = Count(i → j) / Σ Count(i → k)</w:t>
      </w:r>
    </w:p>
    <w:p>
      <w:pPr>
        <w:spacing w:after="120"/>
      </w:pPr>
      <w:r>
        <w:t>Every non-isolated source state should have outgoing probabilities that sum approximately to 1. The matrix is the central representation used for conversion analysis and channel removal.</w:t>
      </w:r>
    </w:p>
    <w:p>
      <w:pPr>
        <w:pStyle w:val="Heading1"/>
      </w:pPr>
      <w:r>
        <w:t>10. Conversion Probability</w:t>
      </w:r>
    </w:p>
    <w:p>
      <w:pPr>
        <w:spacing w:after="120"/>
      </w:pPr>
      <w:r>
        <w:t>The baseline conversion probability is the probability that a journey beginning at Start is eventually absorbed in CONV. It includes both direct and indirect routes. For example, a customer may move from Start to Organic Search, then to Social Media, then to Email, and finally to Conversion. The model assigns probability mass across all such possible routes rather than considering only the final channel.</w:t>
      </w:r>
    </w:p>
    <w:p>
      <w:pPr>
        <w:spacing w:after="120"/>
      </w:pPr>
      <w:r>
        <w:t>The key output is Pbase, the baseline conversion probability before removing any channel.</w:t>
      </w:r>
    </w:p>
    <w:p>
      <w:pPr>
        <w:pStyle w:val="Heading1"/>
      </w:pPr>
      <w:r>
        <w:t>11. Removal Effect</w:t>
      </w:r>
    </w:p>
    <w:p>
      <w:pPr>
        <w:spacing w:after="120"/>
      </w:pPr>
      <w:r>
        <w:t>For a channel c, the model removes that channel from the transition graph and recalculates the eventual conversion probability. The resulting value is Premoved. The Removal Effect is:</w:t>
      </w:r>
    </w:p>
    <w:p>
      <w:pPr>
        <w:jc w:val="center"/>
      </w:pPr>
      <w:r>
        <w:rPr>
          <w:b/>
          <w:sz w:val="26"/>
        </w:rPr>
        <w:t>Removal Effect(c) = (Pbase − Premoved) / Pbase × 100</w:t>
      </w:r>
    </w:p>
    <w:p>
      <w:pPr>
        <w:spacing w:after="120"/>
      </w:pPr>
      <w:r>
        <w:t>A larger percentage means that removing the channel causes a larger reduction in the model’s conversion probability. The channels can then be ranked from highest to lowest Removal Effect.</w:t>
      </w:r>
    </w:p>
    <w:p>
      <w:pPr>
        <w:pStyle w:val="Heading1"/>
      </w:pPr>
      <w:r>
        <w:t>12. Step-by-Step Working</w:t>
      </w:r>
    </w:p>
    <w:p>
      <w:pPr>
        <w:pStyle w:val="ListBullet"/>
        <w:spacing w:after="60"/>
      </w:pPr>
      <w:r>
        <w:t>Collect customer path logs containing the ordered channel touches and final outcome.</w:t>
      </w:r>
    </w:p>
    <w:p>
      <w:pPr>
        <w:pStyle w:val="ListBullet"/>
        <w:spacing w:after="60"/>
      </w:pPr>
      <w:r>
        <w:t>Sort events within each path so that the journey sequence is known.</w:t>
      </w:r>
    </w:p>
    <w:p>
      <w:pPr>
        <w:pStyle w:val="ListBullet"/>
        <w:spacing w:after="60"/>
      </w:pPr>
      <w:r>
        <w:t>Add a conceptual Start state before the first marketing touch.</w:t>
      </w:r>
    </w:p>
    <w:p>
      <w:pPr>
        <w:pStyle w:val="ListBullet"/>
        <w:spacing w:after="60"/>
      </w:pPr>
      <w:r>
        <w:t>Connect each state to the next observed state in the journey.</w:t>
      </w:r>
    </w:p>
    <w:p>
      <w:pPr>
        <w:pStyle w:val="ListBullet"/>
        <w:spacing w:after="60"/>
      </w:pPr>
      <w:r>
        <w:t>Connect the final channel to CONV for converted journeys or NULL for non-converted journeys.</w:t>
      </w:r>
    </w:p>
    <w:p>
      <w:pPr>
        <w:pStyle w:val="ListBullet"/>
        <w:spacing w:after="60"/>
      </w:pPr>
      <w:r>
        <w:t>Count each observed transition.</w:t>
      </w:r>
    </w:p>
    <w:p>
      <w:pPr>
        <w:pStyle w:val="ListBullet"/>
        <w:spacing w:after="60"/>
      </w:pPr>
      <w:r>
        <w:t>Normalize outgoing transition counts to obtain probabilities.</w:t>
      </w:r>
    </w:p>
    <w:p>
      <w:pPr>
        <w:pStyle w:val="ListBullet"/>
        <w:spacing w:after="60"/>
      </w:pPr>
      <w:r>
        <w:t>Calculate the baseline conversion probability from Start.</w:t>
      </w:r>
    </w:p>
    <w:p>
      <w:pPr>
        <w:pStyle w:val="ListBullet"/>
        <w:spacing w:after="60"/>
      </w:pPr>
      <w:r>
        <w:t>Remove one marketing channel at a time from the graph and renormalize remaining paths where required.</w:t>
      </w:r>
    </w:p>
    <w:p>
      <w:pPr>
        <w:pStyle w:val="ListBullet"/>
        <w:spacing w:after="60"/>
      </w:pPr>
      <w:r>
        <w:t>Recalculate conversion probability and compute the Removal Effect.</w:t>
      </w:r>
    </w:p>
    <w:p>
      <w:pPr>
        <w:pStyle w:val="ListBullet"/>
        <w:spacing w:after="60"/>
      </w:pPr>
      <w:r>
        <w:t>Rank channels and interpret the results together with business context.</w:t>
      </w:r>
    </w:p>
    <w:p>
      <w:pPr>
        <w:pStyle w:val="Heading1"/>
      </w:pPr>
      <w:r>
        <w:t>13. Sample Customer Journey 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20"/>
              </w:rPr>
              <w:t>Path</w:t>
            </w:r>
          </w:p>
        </w:tc>
        <w:tc>
          <w:tcPr>
            <w:tcW w:type="dxa" w:w="2484"/>
            <w:vAlign w:val="center"/>
            <w:shd w:fill="D9EAF7"/>
          </w:tcPr>
          <w:p>
            <w:r/>
            <w:r>
              <w:rPr>
                <w:b/>
                <w:sz w:val="20"/>
              </w:rPr>
              <w:t>Customer</w:t>
            </w:r>
          </w:p>
        </w:tc>
        <w:tc>
          <w:tcPr>
            <w:tcW w:type="dxa" w:w="2484"/>
            <w:vAlign w:val="center"/>
            <w:shd w:fill="D9EAF7"/>
          </w:tcPr>
          <w:p>
            <w:r/>
            <w:r>
              <w:rPr>
                <w:b/>
                <w:sz w:val="20"/>
              </w:rPr>
              <w:t>Outcome</w:t>
            </w:r>
          </w:p>
        </w:tc>
        <w:tc>
          <w:tcPr>
            <w:tcW w:type="dxa" w:w="2484"/>
            <w:vAlign w:val="center"/>
            <w:shd w:fill="D9EAF7"/>
          </w:tcPr>
          <w:p>
            <w:r/>
            <w:r>
              <w:rPr>
                <w:b/>
                <w:sz w:val="20"/>
              </w:rPr>
              <w:t>Journey</w:t>
            </w:r>
          </w:p>
        </w:tc>
      </w:tr>
      <w:tr>
        <w:tc>
          <w:tcPr>
            <w:tcW w:type="dxa" w:w="2484"/>
            <w:vAlign w:val="center"/>
          </w:tcPr>
          <w:p>
            <w:r/>
            <w:r>
              <w:rPr>
                <w:b w:val="0"/>
                <w:sz w:val="19"/>
              </w:rPr>
              <w:t>1</w:t>
            </w:r>
          </w:p>
        </w:tc>
        <w:tc>
          <w:tcPr>
            <w:tcW w:type="dxa" w:w="2484"/>
            <w:vAlign w:val="center"/>
          </w:tcPr>
          <w:p>
            <w:r/>
            <w:r>
              <w:rPr>
                <w:b w:val="0"/>
                <w:sz w:val="19"/>
              </w:rPr>
              <w:t>101</w:t>
            </w:r>
          </w:p>
        </w:tc>
        <w:tc>
          <w:tcPr>
            <w:tcW w:type="dxa" w:w="2484"/>
            <w:vAlign w:val="center"/>
          </w:tcPr>
          <w:p>
            <w:r/>
            <w:r>
              <w:rPr>
                <w:b w:val="0"/>
                <w:sz w:val="19"/>
              </w:rPr>
              <w:t>Y</w:t>
            </w:r>
          </w:p>
        </w:tc>
        <w:tc>
          <w:tcPr>
            <w:tcW w:type="dxa" w:w="2484"/>
            <w:vAlign w:val="center"/>
          </w:tcPr>
          <w:p>
            <w:r/>
            <w:r>
              <w:rPr>
                <w:b w:val="0"/>
                <w:sz w:val="19"/>
              </w:rPr>
              <w:t>ORG → SOC → EMAIL → CONV</w:t>
            </w:r>
          </w:p>
        </w:tc>
      </w:tr>
      <w:tr>
        <w:tc>
          <w:tcPr>
            <w:tcW w:type="dxa" w:w="2484"/>
            <w:vAlign w:val="center"/>
          </w:tcPr>
          <w:p>
            <w:r/>
            <w:r>
              <w:rPr>
                <w:b w:val="0"/>
                <w:sz w:val="19"/>
              </w:rPr>
              <w:t>2</w:t>
            </w:r>
          </w:p>
        </w:tc>
        <w:tc>
          <w:tcPr>
            <w:tcW w:type="dxa" w:w="2484"/>
            <w:vAlign w:val="center"/>
          </w:tcPr>
          <w:p>
            <w:r/>
            <w:r>
              <w:rPr>
                <w:b w:val="0"/>
                <w:sz w:val="19"/>
              </w:rPr>
              <w:t>102</w:t>
            </w:r>
          </w:p>
        </w:tc>
        <w:tc>
          <w:tcPr>
            <w:tcW w:type="dxa" w:w="2484"/>
            <w:vAlign w:val="center"/>
          </w:tcPr>
          <w:p>
            <w:r/>
            <w:r>
              <w:rPr>
                <w:b w:val="0"/>
                <w:sz w:val="19"/>
              </w:rPr>
              <w:t>N</w:t>
            </w:r>
          </w:p>
        </w:tc>
        <w:tc>
          <w:tcPr>
            <w:tcW w:type="dxa" w:w="2484"/>
            <w:vAlign w:val="center"/>
          </w:tcPr>
          <w:p>
            <w:r/>
            <w:r>
              <w:rPr>
                <w:b w:val="0"/>
                <w:sz w:val="19"/>
              </w:rPr>
              <w:t>PAID → DISPLAY → NULL</w:t>
            </w:r>
          </w:p>
        </w:tc>
      </w:tr>
      <w:tr>
        <w:tc>
          <w:tcPr>
            <w:tcW w:type="dxa" w:w="2484"/>
            <w:vAlign w:val="center"/>
          </w:tcPr>
          <w:p>
            <w:r/>
            <w:r>
              <w:rPr>
                <w:b w:val="0"/>
                <w:sz w:val="19"/>
              </w:rPr>
              <w:t>3</w:t>
            </w:r>
          </w:p>
        </w:tc>
        <w:tc>
          <w:tcPr>
            <w:tcW w:type="dxa" w:w="2484"/>
            <w:vAlign w:val="center"/>
          </w:tcPr>
          <w:p>
            <w:r/>
            <w:r>
              <w:rPr>
                <w:b w:val="0"/>
                <w:sz w:val="19"/>
              </w:rPr>
              <w:t>103</w:t>
            </w:r>
          </w:p>
        </w:tc>
        <w:tc>
          <w:tcPr>
            <w:tcW w:type="dxa" w:w="2484"/>
            <w:vAlign w:val="center"/>
          </w:tcPr>
          <w:p>
            <w:r/>
            <w:r>
              <w:rPr>
                <w:b w:val="0"/>
                <w:sz w:val="19"/>
              </w:rPr>
              <w:t>Y</w:t>
            </w:r>
          </w:p>
        </w:tc>
        <w:tc>
          <w:tcPr>
            <w:tcW w:type="dxa" w:w="2484"/>
            <w:vAlign w:val="center"/>
          </w:tcPr>
          <w:p>
            <w:r/>
            <w:r>
              <w:rPr>
                <w:b w:val="0"/>
                <w:sz w:val="19"/>
              </w:rPr>
              <w:t>ORG → PAID → CONV</w:t>
            </w:r>
          </w:p>
        </w:tc>
      </w:tr>
      <w:tr>
        <w:tc>
          <w:tcPr>
            <w:tcW w:type="dxa" w:w="2484"/>
            <w:vAlign w:val="center"/>
          </w:tcPr>
          <w:p>
            <w:r/>
            <w:r>
              <w:rPr>
                <w:b w:val="0"/>
                <w:sz w:val="19"/>
              </w:rPr>
              <w:t>4</w:t>
            </w:r>
          </w:p>
        </w:tc>
        <w:tc>
          <w:tcPr>
            <w:tcW w:type="dxa" w:w="2484"/>
            <w:vAlign w:val="center"/>
          </w:tcPr>
          <w:p>
            <w:r/>
            <w:r>
              <w:rPr>
                <w:b w:val="0"/>
                <w:sz w:val="19"/>
              </w:rPr>
              <w:t>104</w:t>
            </w:r>
          </w:p>
        </w:tc>
        <w:tc>
          <w:tcPr>
            <w:tcW w:type="dxa" w:w="2484"/>
            <w:vAlign w:val="center"/>
          </w:tcPr>
          <w:p>
            <w:r/>
            <w:r>
              <w:rPr>
                <w:b w:val="0"/>
                <w:sz w:val="19"/>
              </w:rPr>
              <w:t>N</w:t>
            </w:r>
          </w:p>
        </w:tc>
        <w:tc>
          <w:tcPr>
            <w:tcW w:type="dxa" w:w="2484"/>
            <w:vAlign w:val="center"/>
          </w:tcPr>
          <w:p>
            <w:r/>
            <w:r>
              <w:rPr>
                <w:b w:val="0"/>
                <w:sz w:val="19"/>
              </w:rPr>
              <w:t>SOC → DISPLAY → NULL</w:t>
            </w:r>
          </w:p>
        </w:tc>
      </w:tr>
      <w:tr>
        <w:tc>
          <w:tcPr>
            <w:tcW w:type="dxa" w:w="2484"/>
            <w:vAlign w:val="center"/>
          </w:tcPr>
          <w:p>
            <w:r/>
            <w:r>
              <w:rPr>
                <w:b w:val="0"/>
                <w:sz w:val="19"/>
              </w:rPr>
              <w:t>5</w:t>
            </w:r>
          </w:p>
        </w:tc>
        <w:tc>
          <w:tcPr>
            <w:tcW w:type="dxa" w:w="2484"/>
            <w:vAlign w:val="center"/>
          </w:tcPr>
          <w:p>
            <w:r/>
            <w:r>
              <w:rPr>
                <w:b w:val="0"/>
                <w:sz w:val="19"/>
              </w:rPr>
              <w:t>105</w:t>
            </w:r>
          </w:p>
        </w:tc>
        <w:tc>
          <w:tcPr>
            <w:tcW w:type="dxa" w:w="2484"/>
            <w:vAlign w:val="center"/>
          </w:tcPr>
          <w:p>
            <w:r/>
            <w:r>
              <w:rPr>
                <w:b w:val="0"/>
                <w:sz w:val="19"/>
              </w:rPr>
              <w:t>Y</w:t>
            </w:r>
          </w:p>
        </w:tc>
        <w:tc>
          <w:tcPr>
            <w:tcW w:type="dxa" w:w="2484"/>
            <w:vAlign w:val="center"/>
          </w:tcPr>
          <w:p>
            <w:r/>
            <w:r>
              <w:rPr>
                <w:b w:val="0"/>
                <w:sz w:val="19"/>
              </w:rPr>
              <w:t>REF → EMAIL → CONV</w:t>
            </w:r>
          </w:p>
        </w:tc>
      </w:tr>
      <w:tr>
        <w:tc>
          <w:tcPr>
            <w:tcW w:type="dxa" w:w="2484"/>
            <w:vAlign w:val="center"/>
          </w:tcPr>
          <w:p>
            <w:r/>
            <w:r>
              <w:rPr>
                <w:b w:val="0"/>
                <w:sz w:val="19"/>
              </w:rPr>
              <w:t>6</w:t>
            </w:r>
          </w:p>
        </w:tc>
        <w:tc>
          <w:tcPr>
            <w:tcW w:type="dxa" w:w="2484"/>
            <w:vAlign w:val="center"/>
          </w:tcPr>
          <w:p>
            <w:r/>
            <w:r>
              <w:rPr>
                <w:b w:val="0"/>
                <w:sz w:val="19"/>
              </w:rPr>
              <w:t>106</w:t>
            </w:r>
          </w:p>
        </w:tc>
        <w:tc>
          <w:tcPr>
            <w:tcW w:type="dxa" w:w="2484"/>
            <w:vAlign w:val="center"/>
          </w:tcPr>
          <w:p>
            <w:r/>
            <w:r>
              <w:rPr>
                <w:b w:val="0"/>
                <w:sz w:val="19"/>
              </w:rPr>
              <w:t>Y</w:t>
            </w:r>
          </w:p>
        </w:tc>
        <w:tc>
          <w:tcPr>
            <w:tcW w:type="dxa" w:w="2484"/>
            <w:vAlign w:val="center"/>
          </w:tcPr>
          <w:p>
            <w:r/>
            <w:r>
              <w:rPr>
                <w:b w:val="0"/>
                <w:sz w:val="19"/>
              </w:rPr>
              <w:t>DIRECT → ORG → CONV</w:t>
            </w:r>
          </w:p>
        </w:tc>
      </w:tr>
      <w:tr>
        <w:tc>
          <w:tcPr>
            <w:tcW w:type="dxa" w:w="2484"/>
            <w:vAlign w:val="center"/>
          </w:tcPr>
          <w:p>
            <w:r/>
            <w:r>
              <w:rPr>
                <w:b w:val="0"/>
                <w:sz w:val="19"/>
              </w:rPr>
              <w:t>7</w:t>
            </w:r>
          </w:p>
        </w:tc>
        <w:tc>
          <w:tcPr>
            <w:tcW w:type="dxa" w:w="2484"/>
            <w:vAlign w:val="center"/>
          </w:tcPr>
          <w:p>
            <w:r/>
            <w:r>
              <w:rPr>
                <w:b w:val="0"/>
                <w:sz w:val="19"/>
              </w:rPr>
              <w:t>107</w:t>
            </w:r>
          </w:p>
        </w:tc>
        <w:tc>
          <w:tcPr>
            <w:tcW w:type="dxa" w:w="2484"/>
            <w:vAlign w:val="center"/>
          </w:tcPr>
          <w:p>
            <w:r/>
            <w:r>
              <w:rPr>
                <w:b w:val="0"/>
                <w:sz w:val="19"/>
              </w:rPr>
              <w:t>N</w:t>
            </w:r>
          </w:p>
        </w:tc>
        <w:tc>
          <w:tcPr>
            <w:tcW w:type="dxa" w:w="2484"/>
            <w:vAlign w:val="center"/>
          </w:tcPr>
          <w:p>
            <w:r/>
            <w:r>
              <w:rPr>
                <w:b w:val="0"/>
                <w:sz w:val="19"/>
              </w:rPr>
              <w:t>DISPLAY → SOC → NULL</w:t>
            </w:r>
          </w:p>
        </w:tc>
      </w:tr>
      <w:tr>
        <w:tc>
          <w:tcPr>
            <w:tcW w:type="dxa" w:w="2484"/>
            <w:vAlign w:val="center"/>
          </w:tcPr>
          <w:p>
            <w:r/>
            <w:r>
              <w:rPr>
                <w:b w:val="0"/>
                <w:sz w:val="19"/>
              </w:rPr>
              <w:t>8</w:t>
            </w:r>
          </w:p>
        </w:tc>
        <w:tc>
          <w:tcPr>
            <w:tcW w:type="dxa" w:w="2484"/>
            <w:vAlign w:val="center"/>
          </w:tcPr>
          <w:p>
            <w:r/>
            <w:r>
              <w:rPr>
                <w:b w:val="0"/>
                <w:sz w:val="19"/>
              </w:rPr>
              <w:t>108</w:t>
            </w:r>
          </w:p>
        </w:tc>
        <w:tc>
          <w:tcPr>
            <w:tcW w:type="dxa" w:w="2484"/>
            <w:vAlign w:val="center"/>
          </w:tcPr>
          <w:p>
            <w:r/>
            <w:r>
              <w:rPr>
                <w:b w:val="0"/>
                <w:sz w:val="19"/>
              </w:rPr>
              <w:t>Y</w:t>
            </w:r>
          </w:p>
        </w:tc>
        <w:tc>
          <w:tcPr>
            <w:tcW w:type="dxa" w:w="2484"/>
            <w:vAlign w:val="center"/>
          </w:tcPr>
          <w:p>
            <w:r/>
            <w:r>
              <w:rPr>
                <w:b w:val="0"/>
                <w:sz w:val="19"/>
              </w:rPr>
              <w:t>EMAIL → PAID → CONV</w:t>
            </w:r>
          </w:p>
        </w:tc>
      </w:tr>
      <w:tr>
        <w:tc>
          <w:tcPr>
            <w:tcW w:type="dxa" w:w="2484"/>
            <w:vAlign w:val="center"/>
          </w:tcPr>
          <w:p>
            <w:r/>
            <w:r>
              <w:rPr>
                <w:b w:val="0"/>
                <w:sz w:val="19"/>
              </w:rPr>
              <w:t>9</w:t>
            </w:r>
          </w:p>
        </w:tc>
        <w:tc>
          <w:tcPr>
            <w:tcW w:type="dxa" w:w="2484"/>
            <w:vAlign w:val="center"/>
          </w:tcPr>
          <w:p>
            <w:r/>
            <w:r>
              <w:rPr>
                <w:b w:val="0"/>
                <w:sz w:val="19"/>
              </w:rPr>
              <w:t>109</w:t>
            </w:r>
          </w:p>
        </w:tc>
        <w:tc>
          <w:tcPr>
            <w:tcW w:type="dxa" w:w="2484"/>
            <w:vAlign w:val="center"/>
          </w:tcPr>
          <w:p>
            <w:r/>
            <w:r>
              <w:rPr>
                <w:b w:val="0"/>
                <w:sz w:val="19"/>
              </w:rPr>
              <w:t>N</w:t>
            </w:r>
          </w:p>
        </w:tc>
        <w:tc>
          <w:tcPr>
            <w:tcW w:type="dxa" w:w="2484"/>
            <w:vAlign w:val="center"/>
          </w:tcPr>
          <w:p>
            <w:r/>
            <w:r>
              <w:rPr>
                <w:b w:val="0"/>
                <w:sz w:val="19"/>
              </w:rPr>
              <w:t>ORG → DISPLAY → NULL</w:t>
            </w:r>
          </w:p>
        </w:tc>
      </w:tr>
      <w:tr>
        <w:tc>
          <w:tcPr>
            <w:tcW w:type="dxa" w:w="2484"/>
            <w:vAlign w:val="center"/>
          </w:tcPr>
          <w:p>
            <w:r/>
            <w:r>
              <w:rPr>
                <w:b w:val="0"/>
                <w:sz w:val="19"/>
              </w:rPr>
              <w:t>10</w:t>
            </w:r>
          </w:p>
        </w:tc>
        <w:tc>
          <w:tcPr>
            <w:tcW w:type="dxa" w:w="2484"/>
            <w:vAlign w:val="center"/>
          </w:tcPr>
          <w:p>
            <w:r/>
            <w:r>
              <w:rPr>
                <w:b w:val="0"/>
                <w:sz w:val="19"/>
              </w:rPr>
              <w:t>110</w:t>
            </w:r>
          </w:p>
        </w:tc>
        <w:tc>
          <w:tcPr>
            <w:tcW w:type="dxa" w:w="2484"/>
            <w:vAlign w:val="center"/>
          </w:tcPr>
          <w:p>
            <w:r/>
            <w:r>
              <w:rPr>
                <w:b w:val="0"/>
                <w:sz w:val="19"/>
              </w:rPr>
              <w:t>Y</w:t>
            </w:r>
          </w:p>
        </w:tc>
        <w:tc>
          <w:tcPr>
            <w:tcW w:type="dxa" w:w="2484"/>
            <w:vAlign w:val="center"/>
          </w:tcPr>
          <w:p>
            <w:r/>
            <w:r>
              <w:rPr>
                <w:b w:val="0"/>
                <w:sz w:val="19"/>
              </w:rPr>
              <w:t>REF → PAID → CONV</w:t>
            </w:r>
          </w:p>
        </w:tc>
      </w:tr>
    </w:tbl>
    <w:p>
      <w:pPr>
        <w:spacing w:after="120"/>
      </w:pPr>
      <w:r>
        <w:t>These ten journeys are illustrative sample paths corresponding to the demonstration data in the provided material. They are used to explain how transitions are formed and how attribution results can be presented.</w:t>
      </w:r>
    </w:p>
    <w:p>
      <w:pPr>
        <w:pStyle w:val="Heading1"/>
      </w:pPr>
      <w:r>
        <w:t>14. Sample Transition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20"/>
              </w:rPr>
              <w:t>From</w:t>
            </w:r>
          </w:p>
        </w:tc>
        <w:tc>
          <w:tcPr>
            <w:tcW w:type="dxa" w:w="2484"/>
            <w:vAlign w:val="center"/>
            <w:shd w:fill="D9EAF7"/>
          </w:tcPr>
          <w:p>
            <w:r/>
            <w:r>
              <w:rPr>
                <w:b/>
                <w:sz w:val="20"/>
              </w:rPr>
              <w:t>To</w:t>
            </w:r>
          </w:p>
        </w:tc>
        <w:tc>
          <w:tcPr>
            <w:tcW w:type="dxa" w:w="2484"/>
            <w:vAlign w:val="center"/>
            <w:shd w:fill="D9EAF7"/>
          </w:tcPr>
          <w:p>
            <w:r/>
            <w:r>
              <w:rPr>
                <w:b/>
                <w:sz w:val="20"/>
              </w:rPr>
              <w:t>Count</w:t>
            </w:r>
          </w:p>
        </w:tc>
        <w:tc>
          <w:tcPr>
            <w:tcW w:type="dxa" w:w="2484"/>
            <w:vAlign w:val="center"/>
            <w:shd w:fill="D9EAF7"/>
          </w:tcPr>
          <w:p>
            <w:r/>
            <w:r>
              <w:rPr>
                <w:b/>
                <w:sz w:val="20"/>
              </w:rPr>
              <w:t>Probability</w:t>
            </w:r>
          </w:p>
        </w:tc>
      </w:tr>
      <w:tr>
        <w:tc>
          <w:tcPr>
            <w:tcW w:type="dxa" w:w="2484"/>
            <w:vAlign w:val="center"/>
          </w:tcPr>
          <w:p>
            <w:r/>
            <w:r>
              <w:rPr>
                <w:b w:val="0"/>
                <w:sz w:val="19"/>
              </w:rPr>
              <w:t>Start</w:t>
            </w:r>
          </w:p>
        </w:tc>
        <w:tc>
          <w:tcPr>
            <w:tcW w:type="dxa" w:w="2484"/>
            <w:vAlign w:val="center"/>
          </w:tcPr>
          <w:p>
            <w:r/>
            <w:r>
              <w:rPr>
                <w:b w:val="0"/>
                <w:sz w:val="19"/>
              </w:rPr>
              <w:t>ORG</w:t>
            </w:r>
          </w:p>
        </w:tc>
        <w:tc>
          <w:tcPr>
            <w:tcW w:type="dxa" w:w="2484"/>
            <w:vAlign w:val="center"/>
          </w:tcPr>
          <w:p>
            <w:r/>
            <w:r>
              <w:rPr>
                <w:b w:val="0"/>
                <w:sz w:val="19"/>
              </w:rPr>
              <w:t>3</w:t>
            </w:r>
          </w:p>
        </w:tc>
        <w:tc>
          <w:tcPr>
            <w:tcW w:type="dxa" w:w="2484"/>
            <w:vAlign w:val="center"/>
          </w:tcPr>
          <w:p>
            <w:r/>
            <w:r>
              <w:rPr>
                <w:b w:val="0"/>
                <w:sz w:val="19"/>
              </w:rPr>
              <w:t>0.30</w:t>
            </w:r>
          </w:p>
        </w:tc>
      </w:tr>
      <w:tr>
        <w:tc>
          <w:tcPr>
            <w:tcW w:type="dxa" w:w="2484"/>
            <w:vAlign w:val="center"/>
          </w:tcPr>
          <w:p>
            <w:r/>
            <w:r>
              <w:rPr>
                <w:b w:val="0"/>
                <w:sz w:val="19"/>
              </w:rPr>
              <w:t>Start</w:t>
            </w:r>
          </w:p>
        </w:tc>
        <w:tc>
          <w:tcPr>
            <w:tcW w:type="dxa" w:w="2484"/>
            <w:vAlign w:val="center"/>
          </w:tcPr>
          <w:p>
            <w:r/>
            <w:r>
              <w:rPr>
                <w:b w:val="0"/>
                <w:sz w:val="19"/>
              </w:rPr>
              <w:t>PAID</w:t>
            </w:r>
          </w:p>
        </w:tc>
        <w:tc>
          <w:tcPr>
            <w:tcW w:type="dxa" w:w="2484"/>
            <w:vAlign w:val="center"/>
          </w:tcPr>
          <w:p>
            <w:r/>
            <w:r>
              <w:rPr>
                <w:b w:val="0"/>
                <w:sz w:val="19"/>
              </w:rPr>
              <w:t>1</w:t>
            </w:r>
          </w:p>
        </w:tc>
        <w:tc>
          <w:tcPr>
            <w:tcW w:type="dxa" w:w="2484"/>
            <w:vAlign w:val="center"/>
          </w:tcPr>
          <w:p>
            <w:r/>
            <w:r>
              <w:rPr>
                <w:b w:val="0"/>
                <w:sz w:val="19"/>
              </w:rPr>
              <w:t>0.10</w:t>
            </w:r>
          </w:p>
        </w:tc>
      </w:tr>
      <w:tr>
        <w:tc>
          <w:tcPr>
            <w:tcW w:type="dxa" w:w="2484"/>
            <w:vAlign w:val="center"/>
          </w:tcPr>
          <w:p>
            <w:r/>
            <w:r>
              <w:rPr>
                <w:b w:val="0"/>
                <w:sz w:val="19"/>
              </w:rPr>
              <w:t>Start</w:t>
            </w:r>
          </w:p>
        </w:tc>
        <w:tc>
          <w:tcPr>
            <w:tcW w:type="dxa" w:w="2484"/>
            <w:vAlign w:val="center"/>
          </w:tcPr>
          <w:p>
            <w:r/>
            <w:r>
              <w:rPr>
                <w:b w:val="0"/>
                <w:sz w:val="19"/>
              </w:rPr>
              <w:t>SOC</w:t>
            </w:r>
          </w:p>
        </w:tc>
        <w:tc>
          <w:tcPr>
            <w:tcW w:type="dxa" w:w="2484"/>
            <w:vAlign w:val="center"/>
          </w:tcPr>
          <w:p>
            <w:r/>
            <w:r>
              <w:rPr>
                <w:b w:val="0"/>
                <w:sz w:val="19"/>
              </w:rPr>
              <w:t>1</w:t>
            </w:r>
          </w:p>
        </w:tc>
        <w:tc>
          <w:tcPr>
            <w:tcW w:type="dxa" w:w="2484"/>
            <w:vAlign w:val="center"/>
          </w:tcPr>
          <w:p>
            <w:r/>
            <w:r>
              <w:rPr>
                <w:b w:val="0"/>
                <w:sz w:val="19"/>
              </w:rPr>
              <w:t>0.10</w:t>
            </w:r>
          </w:p>
        </w:tc>
      </w:tr>
      <w:tr>
        <w:tc>
          <w:tcPr>
            <w:tcW w:type="dxa" w:w="2484"/>
            <w:vAlign w:val="center"/>
          </w:tcPr>
          <w:p>
            <w:r/>
            <w:r>
              <w:rPr>
                <w:b w:val="0"/>
                <w:sz w:val="19"/>
              </w:rPr>
              <w:t>Start</w:t>
            </w:r>
          </w:p>
        </w:tc>
        <w:tc>
          <w:tcPr>
            <w:tcW w:type="dxa" w:w="2484"/>
            <w:vAlign w:val="center"/>
          </w:tcPr>
          <w:p>
            <w:r/>
            <w:r>
              <w:rPr>
                <w:b w:val="0"/>
                <w:sz w:val="19"/>
              </w:rPr>
              <w:t>REF</w:t>
            </w:r>
          </w:p>
        </w:tc>
        <w:tc>
          <w:tcPr>
            <w:tcW w:type="dxa" w:w="2484"/>
            <w:vAlign w:val="center"/>
          </w:tcPr>
          <w:p>
            <w:r/>
            <w:r>
              <w:rPr>
                <w:b w:val="0"/>
                <w:sz w:val="19"/>
              </w:rPr>
              <w:t>2</w:t>
            </w:r>
          </w:p>
        </w:tc>
        <w:tc>
          <w:tcPr>
            <w:tcW w:type="dxa" w:w="2484"/>
            <w:vAlign w:val="center"/>
          </w:tcPr>
          <w:p>
            <w:r/>
            <w:r>
              <w:rPr>
                <w:b w:val="0"/>
                <w:sz w:val="19"/>
              </w:rPr>
              <w:t>0.20</w:t>
            </w:r>
          </w:p>
        </w:tc>
      </w:tr>
      <w:tr>
        <w:tc>
          <w:tcPr>
            <w:tcW w:type="dxa" w:w="2484"/>
            <w:vAlign w:val="center"/>
          </w:tcPr>
          <w:p>
            <w:r/>
            <w:r>
              <w:rPr>
                <w:b w:val="0"/>
                <w:sz w:val="19"/>
              </w:rPr>
              <w:t>Start</w:t>
            </w:r>
          </w:p>
        </w:tc>
        <w:tc>
          <w:tcPr>
            <w:tcW w:type="dxa" w:w="2484"/>
            <w:vAlign w:val="center"/>
          </w:tcPr>
          <w:p>
            <w:r/>
            <w:r>
              <w:rPr>
                <w:b w:val="0"/>
                <w:sz w:val="19"/>
              </w:rPr>
              <w:t>DIRECT</w:t>
            </w:r>
          </w:p>
        </w:tc>
        <w:tc>
          <w:tcPr>
            <w:tcW w:type="dxa" w:w="2484"/>
            <w:vAlign w:val="center"/>
          </w:tcPr>
          <w:p>
            <w:r/>
            <w:r>
              <w:rPr>
                <w:b w:val="0"/>
                <w:sz w:val="19"/>
              </w:rPr>
              <w:t>1</w:t>
            </w:r>
          </w:p>
        </w:tc>
        <w:tc>
          <w:tcPr>
            <w:tcW w:type="dxa" w:w="2484"/>
            <w:vAlign w:val="center"/>
          </w:tcPr>
          <w:p>
            <w:r/>
            <w:r>
              <w:rPr>
                <w:b w:val="0"/>
                <w:sz w:val="19"/>
              </w:rPr>
              <w:t>0.10</w:t>
            </w:r>
          </w:p>
        </w:tc>
      </w:tr>
      <w:tr>
        <w:tc>
          <w:tcPr>
            <w:tcW w:type="dxa" w:w="2484"/>
            <w:vAlign w:val="center"/>
          </w:tcPr>
          <w:p>
            <w:r/>
            <w:r>
              <w:rPr>
                <w:b w:val="0"/>
                <w:sz w:val="19"/>
              </w:rPr>
              <w:t>Start</w:t>
            </w:r>
          </w:p>
        </w:tc>
        <w:tc>
          <w:tcPr>
            <w:tcW w:type="dxa" w:w="2484"/>
            <w:vAlign w:val="center"/>
          </w:tcPr>
          <w:p>
            <w:r/>
            <w:r>
              <w:rPr>
                <w:b w:val="0"/>
                <w:sz w:val="19"/>
              </w:rPr>
              <w:t>EMAIL</w:t>
            </w:r>
          </w:p>
        </w:tc>
        <w:tc>
          <w:tcPr>
            <w:tcW w:type="dxa" w:w="2484"/>
            <w:vAlign w:val="center"/>
          </w:tcPr>
          <w:p>
            <w:r/>
            <w:r>
              <w:rPr>
                <w:b w:val="0"/>
                <w:sz w:val="19"/>
              </w:rPr>
              <w:t>1</w:t>
            </w:r>
          </w:p>
        </w:tc>
        <w:tc>
          <w:tcPr>
            <w:tcW w:type="dxa" w:w="2484"/>
            <w:vAlign w:val="center"/>
          </w:tcPr>
          <w:p>
            <w:r/>
            <w:r>
              <w:rPr>
                <w:b w:val="0"/>
                <w:sz w:val="19"/>
              </w:rPr>
              <w:t>0.10</w:t>
            </w:r>
          </w:p>
        </w:tc>
      </w:tr>
      <w:tr>
        <w:tc>
          <w:tcPr>
            <w:tcW w:type="dxa" w:w="2484"/>
            <w:vAlign w:val="center"/>
          </w:tcPr>
          <w:p>
            <w:r/>
            <w:r>
              <w:rPr>
                <w:b w:val="0"/>
                <w:sz w:val="19"/>
              </w:rPr>
              <w:t>Start</w:t>
            </w:r>
          </w:p>
        </w:tc>
        <w:tc>
          <w:tcPr>
            <w:tcW w:type="dxa" w:w="2484"/>
            <w:vAlign w:val="center"/>
          </w:tcPr>
          <w:p>
            <w:r/>
            <w:r>
              <w:rPr>
                <w:b w:val="0"/>
                <w:sz w:val="19"/>
              </w:rPr>
              <w:t>DISPLAY</w:t>
            </w:r>
          </w:p>
        </w:tc>
        <w:tc>
          <w:tcPr>
            <w:tcW w:type="dxa" w:w="2484"/>
            <w:vAlign w:val="center"/>
          </w:tcPr>
          <w:p>
            <w:r/>
            <w:r>
              <w:rPr>
                <w:b w:val="0"/>
                <w:sz w:val="19"/>
              </w:rPr>
              <w:t>1</w:t>
            </w:r>
          </w:p>
        </w:tc>
        <w:tc>
          <w:tcPr>
            <w:tcW w:type="dxa" w:w="2484"/>
            <w:vAlign w:val="center"/>
          </w:tcPr>
          <w:p>
            <w:r/>
            <w:r>
              <w:rPr>
                <w:b w:val="0"/>
                <w:sz w:val="19"/>
              </w:rPr>
              <w:t>0.10</w:t>
            </w:r>
          </w:p>
        </w:tc>
      </w:tr>
      <w:tr>
        <w:tc>
          <w:tcPr>
            <w:tcW w:type="dxa" w:w="2484"/>
            <w:vAlign w:val="center"/>
          </w:tcPr>
          <w:p>
            <w:r/>
            <w:r>
              <w:rPr>
                <w:b w:val="0"/>
                <w:sz w:val="19"/>
              </w:rPr>
              <w:t>ORG</w:t>
            </w:r>
          </w:p>
        </w:tc>
        <w:tc>
          <w:tcPr>
            <w:tcW w:type="dxa" w:w="2484"/>
            <w:vAlign w:val="center"/>
          </w:tcPr>
          <w:p>
            <w:r/>
            <w:r>
              <w:rPr>
                <w:b w:val="0"/>
                <w:sz w:val="19"/>
              </w:rPr>
              <w:t>SOC</w:t>
            </w:r>
          </w:p>
        </w:tc>
        <w:tc>
          <w:tcPr>
            <w:tcW w:type="dxa" w:w="2484"/>
            <w:vAlign w:val="center"/>
          </w:tcPr>
          <w:p>
            <w:r/>
            <w:r>
              <w:rPr>
                <w:b w:val="0"/>
                <w:sz w:val="19"/>
              </w:rPr>
              <w:t>1</w:t>
            </w:r>
          </w:p>
        </w:tc>
        <w:tc>
          <w:tcPr>
            <w:tcW w:type="dxa" w:w="2484"/>
            <w:vAlign w:val="center"/>
          </w:tcPr>
          <w:p>
            <w:r/>
            <w:r>
              <w:rPr>
                <w:b w:val="0"/>
                <w:sz w:val="19"/>
              </w:rPr>
              <w:t>0.3333</w:t>
            </w:r>
          </w:p>
        </w:tc>
      </w:tr>
      <w:tr>
        <w:tc>
          <w:tcPr>
            <w:tcW w:type="dxa" w:w="2484"/>
            <w:vAlign w:val="center"/>
          </w:tcPr>
          <w:p>
            <w:r/>
            <w:r>
              <w:rPr>
                <w:b w:val="0"/>
                <w:sz w:val="19"/>
              </w:rPr>
              <w:t>ORG</w:t>
            </w:r>
          </w:p>
        </w:tc>
        <w:tc>
          <w:tcPr>
            <w:tcW w:type="dxa" w:w="2484"/>
            <w:vAlign w:val="center"/>
          </w:tcPr>
          <w:p>
            <w:r/>
            <w:r>
              <w:rPr>
                <w:b w:val="0"/>
                <w:sz w:val="19"/>
              </w:rPr>
              <w:t>PAID</w:t>
            </w:r>
          </w:p>
        </w:tc>
        <w:tc>
          <w:tcPr>
            <w:tcW w:type="dxa" w:w="2484"/>
            <w:vAlign w:val="center"/>
          </w:tcPr>
          <w:p>
            <w:r/>
            <w:r>
              <w:rPr>
                <w:b w:val="0"/>
                <w:sz w:val="19"/>
              </w:rPr>
              <w:t>1</w:t>
            </w:r>
          </w:p>
        </w:tc>
        <w:tc>
          <w:tcPr>
            <w:tcW w:type="dxa" w:w="2484"/>
            <w:vAlign w:val="center"/>
          </w:tcPr>
          <w:p>
            <w:r/>
            <w:r>
              <w:rPr>
                <w:b w:val="0"/>
                <w:sz w:val="19"/>
              </w:rPr>
              <w:t>0.3333</w:t>
            </w:r>
          </w:p>
        </w:tc>
      </w:tr>
      <w:tr>
        <w:tc>
          <w:tcPr>
            <w:tcW w:type="dxa" w:w="2484"/>
            <w:vAlign w:val="center"/>
          </w:tcPr>
          <w:p>
            <w:r/>
            <w:r>
              <w:rPr>
                <w:b w:val="0"/>
                <w:sz w:val="19"/>
              </w:rPr>
              <w:t>ORG</w:t>
            </w:r>
          </w:p>
        </w:tc>
        <w:tc>
          <w:tcPr>
            <w:tcW w:type="dxa" w:w="2484"/>
            <w:vAlign w:val="center"/>
          </w:tcPr>
          <w:p>
            <w:r/>
            <w:r>
              <w:rPr>
                <w:b w:val="0"/>
                <w:sz w:val="19"/>
              </w:rPr>
              <w:t>CONV</w:t>
            </w:r>
          </w:p>
        </w:tc>
        <w:tc>
          <w:tcPr>
            <w:tcW w:type="dxa" w:w="2484"/>
            <w:vAlign w:val="center"/>
          </w:tcPr>
          <w:p>
            <w:r/>
            <w:r>
              <w:rPr>
                <w:b w:val="0"/>
                <w:sz w:val="19"/>
              </w:rPr>
              <w:t>1</w:t>
            </w:r>
          </w:p>
        </w:tc>
        <w:tc>
          <w:tcPr>
            <w:tcW w:type="dxa" w:w="2484"/>
            <w:vAlign w:val="center"/>
          </w:tcPr>
          <w:p>
            <w:r/>
            <w:r>
              <w:rPr>
                <w:b w:val="0"/>
                <w:sz w:val="19"/>
              </w:rPr>
              <w:t>0.3333</w:t>
            </w:r>
          </w:p>
        </w:tc>
      </w:tr>
      <w:tr>
        <w:tc>
          <w:tcPr>
            <w:tcW w:type="dxa" w:w="2484"/>
            <w:vAlign w:val="center"/>
          </w:tcPr>
          <w:p>
            <w:r/>
            <w:r>
              <w:rPr>
                <w:b w:val="0"/>
                <w:sz w:val="19"/>
              </w:rPr>
              <w:t>ORG</w:t>
            </w:r>
          </w:p>
        </w:tc>
        <w:tc>
          <w:tcPr>
            <w:tcW w:type="dxa" w:w="2484"/>
            <w:vAlign w:val="center"/>
          </w:tcPr>
          <w:p>
            <w:r/>
            <w:r>
              <w:rPr>
                <w:b w:val="0"/>
                <w:sz w:val="19"/>
              </w:rPr>
              <w:t>DISPLAY</w:t>
            </w:r>
          </w:p>
        </w:tc>
        <w:tc>
          <w:tcPr>
            <w:tcW w:type="dxa" w:w="2484"/>
            <w:vAlign w:val="center"/>
          </w:tcPr>
          <w:p>
            <w:r/>
            <w:r>
              <w:rPr>
                <w:b w:val="0"/>
                <w:sz w:val="19"/>
              </w:rPr>
              <w:t>1</w:t>
            </w:r>
          </w:p>
        </w:tc>
        <w:tc>
          <w:tcPr>
            <w:tcW w:type="dxa" w:w="2484"/>
            <w:vAlign w:val="center"/>
          </w:tcPr>
          <w:p>
            <w:r/>
            <w:r>
              <w:rPr>
                <w:b w:val="0"/>
                <w:sz w:val="19"/>
              </w:rPr>
              <w:t>0.3333</w:t>
            </w:r>
          </w:p>
        </w:tc>
      </w:tr>
      <w:tr>
        <w:tc>
          <w:tcPr>
            <w:tcW w:type="dxa" w:w="2484"/>
            <w:vAlign w:val="center"/>
          </w:tcPr>
          <w:p>
            <w:r/>
            <w:r>
              <w:rPr>
                <w:b w:val="0"/>
                <w:sz w:val="19"/>
              </w:rPr>
              <w:t>SOC</w:t>
            </w:r>
          </w:p>
        </w:tc>
        <w:tc>
          <w:tcPr>
            <w:tcW w:type="dxa" w:w="2484"/>
            <w:vAlign w:val="center"/>
          </w:tcPr>
          <w:p>
            <w:r/>
            <w:r>
              <w:rPr>
                <w:b w:val="0"/>
                <w:sz w:val="19"/>
              </w:rPr>
              <w:t>EMAIL</w:t>
            </w:r>
          </w:p>
        </w:tc>
        <w:tc>
          <w:tcPr>
            <w:tcW w:type="dxa" w:w="2484"/>
            <w:vAlign w:val="center"/>
          </w:tcPr>
          <w:p>
            <w:r/>
            <w:r>
              <w:rPr>
                <w:b w:val="0"/>
                <w:sz w:val="19"/>
              </w:rPr>
              <w:t>1</w:t>
            </w:r>
          </w:p>
        </w:tc>
        <w:tc>
          <w:tcPr>
            <w:tcW w:type="dxa" w:w="2484"/>
            <w:vAlign w:val="center"/>
          </w:tcPr>
          <w:p>
            <w:r/>
            <w:r>
              <w:rPr>
                <w:b w:val="0"/>
                <w:sz w:val="19"/>
              </w:rPr>
              <w:t>0.50</w:t>
            </w:r>
          </w:p>
        </w:tc>
      </w:tr>
      <w:tr>
        <w:tc>
          <w:tcPr>
            <w:tcW w:type="dxa" w:w="2484"/>
            <w:vAlign w:val="center"/>
          </w:tcPr>
          <w:p>
            <w:r/>
            <w:r>
              <w:rPr>
                <w:b w:val="0"/>
                <w:sz w:val="19"/>
              </w:rPr>
              <w:t>SOC</w:t>
            </w:r>
          </w:p>
        </w:tc>
        <w:tc>
          <w:tcPr>
            <w:tcW w:type="dxa" w:w="2484"/>
            <w:vAlign w:val="center"/>
          </w:tcPr>
          <w:p>
            <w:r/>
            <w:r>
              <w:rPr>
                <w:b w:val="0"/>
                <w:sz w:val="19"/>
              </w:rPr>
              <w:t>DISPLAY</w:t>
            </w:r>
          </w:p>
        </w:tc>
        <w:tc>
          <w:tcPr>
            <w:tcW w:type="dxa" w:w="2484"/>
            <w:vAlign w:val="center"/>
          </w:tcPr>
          <w:p>
            <w:r/>
            <w:r>
              <w:rPr>
                <w:b w:val="0"/>
                <w:sz w:val="19"/>
              </w:rPr>
              <w:t>1</w:t>
            </w:r>
          </w:p>
        </w:tc>
        <w:tc>
          <w:tcPr>
            <w:tcW w:type="dxa" w:w="2484"/>
            <w:vAlign w:val="center"/>
          </w:tcPr>
          <w:p>
            <w:r/>
            <w:r>
              <w:rPr>
                <w:b w:val="0"/>
                <w:sz w:val="19"/>
              </w:rPr>
              <w:t>0.50</w:t>
            </w:r>
          </w:p>
        </w:tc>
      </w:tr>
      <w:tr>
        <w:tc>
          <w:tcPr>
            <w:tcW w:type="dxa" w:w="2484"/>
            <w:vAlign w:val="center"/>
          </w:tcPr>
          <w:p>
            <w:r/>
            <w:r>
              <w:rPr>
                <w:b w:val="0"/>
                <w:sz w:val="19"/>
              </w:rPr>
              <w:t>PAID</w:t>
            </w:r>
          </w:p>
        </w:tc>
        <w:tc>
          <w:tcPr>
            <w:tcW w:type="dxa" w:w="2484"/>
            <w:vAlign w:val="center"/>
          </w:tcPr>
          <w:p>
            <w:r/>
            <w:r>
              <w:rPr>
                <w:b w:val="0"/>
                <w:sz w:val="19"/>
              </w:rPr>
              <w:t>DISPLAY</w:t>
            </w:r>
          </w:p>
        </w:tc>
        <w:tc>
          <w:tcPr>
            <w:tcW w:type="dxa" w:w="2484"/>
            <w:vAlign w:val="center"/>
          </w:tcPr>
          <w:p>
            <w:r/>
            <w:r>
              <w:rPr>
                <w:b w:val="0"/>
                <w:sz w:val="19"/>
              </w:rPr>
              <w:t>1</w:t>
            </w:r>
          </w:p>
        </w:tc>
        <w:tc>
          <w:tcPr>
            <w:tcW w:type="dxa" w:w="2484"/>
            <w:vAlign w:val="center"/>
          </w:tcPr>
          <w:p>
            <w:r/>
            <w:r>
              <w:rPr>
                <w:b w:val="0"/>
                <w:sz w:val="19"/>
              </w:rPr>
              <w:t>0.25</w:t>
            </w:r>
          </w:p>
        </w:tc>
      </w:tr>
      <w:tr>
        <w:tc>
          <w:tcPr>
            <w:tcW w:type="dxa" w:w="2484"/>
            <w:vAlign w:val="center"/>
          </w:tcPr>
          <w:p>
            <w:r/>
            <w:r>
              <w:rPr>
                <w:b w:val="0"/>
                <w:sz w:val="19"/>
              </w:rPr>
              <w:t>PAID</w:t>
            </w:r>
          </w:p>
        </w:tc>
        <w:tc>
          <w:tcPr>
            <w:tcW w:type="dxa" w:w="2484"/>
            <w:vAlign w:val="center"/>
          </w:tcPr>
          <w:p>
            <w:r/>
            <w:r>
              <w:rPr>
                <w:b w:val="0"/>
                <w:sz w:val="19"/>
              </w:rPr>
              <w:t>CONV</w:t>
            </w:r>
          </w:p>
        </w:tc>
        <w:tc>
          <w:tcPr>
            <w:tcW w:type="dxa" w:w="2484"/>
            <w:vAlign w:val="center"/>
          </w:tcPr>
          <w:p>
            <w:r/>
            <w:r>
              <w:rPr>
                <w:b w:val="0"/>
                <w:sz w:val="19"/>
              </w:rPr>
              <w:t>2</w:t>
            </w:r>
          </w:p>
        </w:tc>
        <w:tc>
          <w:tcPr>
            <w:tcW w:type="dxa" w:w="2484"/>
            <w:vAlign w:val="center"/>
          </w:tcPr>
          <w:p>
            <w:r/>
            <w:r>
              <w:rPr>
                <w:b w:val="0"/>
                <w:sz w:val="19"/>
              </w:rPr>
              <w:t>0.50</w:t>
            </w:r>
          </w:p>
        </w:tc>
      </w:tr>
      <w:tr>
        <w:tc>
          <w:tcPr>
            <w:tcW w:type="dxa" w:w="2484"/>
            <w:vAlign w:val="center"/>
          </w:tcPr>
          <w:p>
            <w:r/>
            <w:r>
              <w:rPr>
                <w:b w:val="0"/>
                <w:sz w:val="19"/>
              </w:rPr>
              <w:t>PAID</w:t>
            </w:r>
          </w:p>
        </w:tc>
        <w:tc>
          <w:tcPr>
            <w:tcW w:type="dxa" w:w="2484"/>
            <w:vAlign w:val="center"/>
          </w:tcPr>
          <w:p>
            <w:r/>
            <w:r>
              <w:rPr>
                <w:b w:val="0"/>
                <w:sz w:val="19"/>
              </w:rPr>
              <w:t>NULL</w:t>
            </w:r>
          </w:p>
        </w:tc>
        <w:tc>
          <w:tcPr>
            <w:tcW w:type="dxa" w:w="2484"/>
            <w:vAlign w:val="center"/>
          </w:tcPr>
          <w:p>
            <w:r/>
            <w:r>
              <w:rPr>
                <w:b w:val="0"/>
                <w:sz w:val="19"/>
              </w:rPr>
              <w:t>0</w:t>
            </w:r>
          </w:p>
        </w:tc>
        <w:tc>
          <w:tcPr>
            <w:tcW w:type="dxa" w:w="2484"/>
            <w:vAlign w:val="center"/>
          </w:tcPr>
          <w:p>
            <w:r/>
            <w:r>
              <w:rPr>
                <w:b w:val="0"/>
                <w:sz w:val="19"/>
              </w:rPr>
              <w:t>0.00</w:t>
            </w:r>
          </w:p>
        </w:tc>
      </w:tr>
      <w:tr>
        <w:tc>
          <w:tcPr>
            <w:tcW w:type="dxa" w:w="2484"/>
            <w:vAlign w:val="center"/>
          </w:tcPr>
          <w:p>
            <w:r/>
            <w:r>
              <w:rPr>
                <w:b w:val="0"/>
                <w:sz w:val="19"/>
              </w:rPr>
              <w:t>EMAIL</w:t>
            </w:r>
          </w:p>
        </w:tc>
        <w:tc>
          <w:tcPr>
            <w:tcW w:type="dxa" w:w="2484"/>
            <w:vAlign w:val="center"/>
          </w:tcPr>
          <w:p>
            <w:r/>
            <w:r>
              <w:rPr>
                <w:b w:val="0"/>
                <w:sz w:val="19"/>
              </w:rPr>
              <w:t>CONV</w:t>
            </w:r>
          </w:p>
        </w:tc>
        <w:tc>
          <w:tcPr>
            <w:tcW w:type="dxa" w:w="2484"/>
            <w:vAlign w:val="center"/>
          </w:tcPr>
          <w:p>
            <w:r/>
            <w:r>
              <w:rPr>
                <w:b w:val="0"/>
                <w:sz w:val="19"/>
              </w:rPr>
              <w:t>2</w:t>
            </w:r>
          </w:p>
        </w:tc>
        <w:tc>
          <w:tcPr>
            <w:tcW w:type="dxa" w:w="2484"/>
            <w:vAlign w:val="center"/>
          </w:tcPr>
          <w:p>
            <w:r/>
            <w:r>
              <w:rPr>
                <w:b w:val="0"/>
                <w:sz w:val="19"/>
              </w:rPr>
              <w:t>1.00</w:t>
            </w:r>
          </w:p>
        </w:tc>
      </w:tr>
      <w:tr>
        <w:tc>
          <w:tcPr>
            <w:tcW w:type="dxa" w:w="2484"/>
            <w:vAlign w:val="center"/>
          </w:tcPr>
          <w:p>
            <w:r/>
            <w:r>
              <w:rPr>
                <w:b w:val="0"/>
                <w:sz w:val="19"/>
              </w:rPr>
              <w:t>REF</w:t>
            </w:r>
          </w:p>
        </w:tc>
        <w:tc>
          <w:tcPr>
            <w:tcW w:type="dxa" w:w="2484"/>
            <w:vAlign w:val="center"/>
          </w:tcPr>
          <w:p>
            <w:r/>
            <w:r>
              <w:rPr>
                <w:b w:val="0"/>
                <w:sz w:val="19"/>
              </w:rPr>
              <w:t>EMAIL</w:t>
            </w:r>
          </w:p>
        </w:tc>
        <w:tc>
          <w:tcPr>
            <w:tcW w:type="dxa" w:w="2484"/>
            <w:vAlign w:val="center"/>
          </w:tcPr>
          <w:p>
            <w:r/>
            <w:r>
              <w:rPr>
                <w:b w:val="0"/>
                <w:sz w:val="19"/>
              </w:rPr>
              <w:t>1</w:t>
            </w:r>
          </w:p>
        </w:tc>
        <w:tc>
          <w:tcPr>
            <w:tcW w:type="dxa" w:w="2484"/>
            <w:vAlign w:val="center"/>
          </w:tcPr>
          <w:p>
            <w:r/>
            <w:r>
              <w:rPr>
                <w:b w:val="0"/>
                <w:sz w:val="19"/>
              </w:rPr>
              <w:t>0.50</w:t>
            </w:r>
          </w:p>
        </w:tc>
      </w:tr>
      <w:tr>
        <w:tc>
          <w:tcPr>
            <w:tcW w:type="dxa" w:w="2484"/>
            <w:vAlign w:val="center"/>
          </w:tcPr>
          <w:p>
            <w:r/>
            <w:r>
              <w:rPr>
                <w:b w:val="0"/>
                <w:sz w:val="19"/>
              </w:rPr>
              <w:t>REF</w:t>
            </w:r>
          </w:p>
        </w:tc>
        <w:tc>
          <w:tcPr>
            <w:tcW w:type="dxa" w:w="2484"/>
            <w:vAlign w:val="center"/>
          </w:tcPr>
          <w:p>
            <w:r/>
            <w:r>
              <w:rPr>
                <w:b w:val="0"/>
                <w:sz w:val="19"/>
              </w:rPr>
              <w:t>PAID</w:t>
            </w:r>
          </w:p>
        </w:tc>
        <w:tc>
          <w:tcPr>
            <w:tcW w:type="dxa" w:w="2484"/>
            <w:vAlign w:val="center"/>
          </w:tcPr>
          <w:p>
            <w:r/>
            <w:r>
              <w:rPr>
                <w:b w:val="0"/>
                <w:sz w:val="19"/>
              </w:rPr>
              <w:t>1</w:t>
            </w:r>
          </w:p>
        </w:tc>
        <w:tc>
          <w:tcPr>
            <w:tcW w:type="dxa" w:w="2484"/>
            <w:vAlign w:val="center"/>
          </w:tcPr>
          <w:p>
            <w:r/>
            <w:r>
              <w:rPr>
                <w:b w:val="0"/>
                <w:sz w:val="19"/>
              </w:rPr>
              <w:t>0.50</w:t>
            </w:r>
          </w:p>
        </w:tc>
      </w:tr>
      <w:tr>
        <w:tc>
          <w:tcPr>
            <w:tcW w:type="dxa" w:w="2484"/>
            <w:vAlign w:val="center"/>
          </w:tcPr>
          <w:p>
            <w:r/>
            <w:r>
              <w:rPr>
                <w:b w:val="0"/>
                <w:sz w:val="19"/>
              </w:rPr>
              <w:t>DIRECT</w:t>
            </w:r>
          </w:p>
        </w:tc>
        <w:tc>
          <w:tcPr>
            <w:tcW w:type="dxa" w:w="2484"/>
            <w:vAlign w:val="center"/>
          </w:tcPr>
          <w:p>
            <w:r/>
            <w:r>
              <w:rPr>
                <w:b w:val="0"/>
                <w:sz w:val="19"/>
              </w:rPr>
              <w:t>ORG</w:t>
            </w:r>
          </w:p>
        </w:tc>
        <w:tc>
          <w:tcPr>
            <w:tcW w:type="dxa" w:w="2484"/>
            <w:vAlign w:val="center"/>
          </w:tcPr>
          <w:p>
            <w:r/>
            <w:r>
              <w:rPr>
                <w:b w:val="0"/>
                <w:sz w:val="19"/>
              </w:rPr>
              <w:t>1</w:t>
            </w:r>
          </w:p>
        </w:tc>
        <w:tc>
          <w:tcPr>
            <w:tcW w:type="dxa" w:w="2484"/>
            <w:vAlign w:val="center"/>
          </w:tcPr>
          <w:p>
            <w:r/>
            <w:r>
              <w:rPr>
                <w:b w:val="0"/>
                <w:sz w:val="19"/>
              </w:rPr>
              <w:t>1.00</w:t>
            </w:r>
          </w:p>
        </w:tc>
      </w:tr>
      <w:tr>
        <w:tc>
          <w:tcPr>
            <w:tcW w:type="dxa" w:w="2484"/>
            <w:vAlign w:val="center"/>
          </w:tcPr>
          <w:p>
            <w:r/>
            <w:r>
              <w:rPr>
                <w:b w:val="0"/>
                <w:sz w:val="19"/>
              </w:rPr>
              <w:t>DISPLAY</w:t>
            </w:r>
          </w:p>
        </w:tc>
        <w:tc>
          <w:tcPr>
            <w:tcW w:type="dxa" w:w="2484"/>
            <w:vAlign w:val="center"/>
          </w:tcPr>
          <w:p>
            <w:r/>
            <w:r>
              <w:rPr>
                <w:b w:val="0"/>
                <w:sz w:val="19"/>
              </w:rPr>
              <w:t>NULL</w:t>
            </w:r>
          </w:p>
        </w:tc>
        <w:tc>
          <w:tcPr>
            <w:tcW w:type="dxa" w:w="2484"/>
            <w:vAlign w:val="center"/>
          </w:tcPr>
          <w:p>
            <w:r/>
            <w:r>
              <w:rPr>
                <w:b w:val="0"/>
                <w:sz w:val="19"/>
              </w:rPr>
              <w:t>3</w:t>
            </w:r>
          </w:p>
        </w:tc>
        <w:tc>
          <w:tcPr>
            <w:tcW w:type="dxa" w:w="2484"/>
            <w:vAlign w:val="center"/>
          </w:tcPr>
          <w:p>
            <w:r/>
            <w:r>
              <w:rPr>
                <w:b w:val="0"/>
                <w:sz w:val="19"/>
              </w:rPr>
              <w:t>1.00</w:t>
            </w:r>
          </w:p>
        </w:tc>
      </w:tr>
    </w:tbl>
    <w:p>
      <w:pPr>
        <w:spacing w:after="120"/>
      </w:pPr>
      <w:r>
        <w:t>The probabilities above are reproduced as illustrative sample results from the provided assignment material. Because the demonstration table is intended to show the expected reporting format, the final production analysis should recalculate all values from the actual 15-million-path dataset.</w:t>
      </w:r>
    </w:p>
    <w:p>
      <w:pPr>
        <w:pStyle w:val="Heading1"/>
      </w:pPr>
      <w:r>
        <w:t>15. Sample Removal-Effect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20"/>
              </w:rPr>
              <w:t>Rank</w:t>
            </w:r>
          </w:p>
        </w:tc>
        <w:tc>
          <w:tcPr>
            <w:tcW w:type="dxa" w:w="1987"/>
            <w:vAlign w:val="center"/>
            <w:shd w:fill="D9EAF7"/>
          </w:tcPr>
          <w:p>
            <w:r/>
            <w:r>
              <w:rPr>
                <w:b/>
                <w:sz w:val="20"/>
              </w:rPr>
              <w:t>Channel</w:t>
            </w:r>
          </w:p>
        </w:tc>
        <w:tc>
          <w:tcPr>
            <w:tcW w:type="dxa" w:w="1987"/>
            <w:vAlign w:val="center"/>
            <w:shd w:fill="D9EAF7"/>
          </w:tcPr>
          <w:p>
            <w:r/>
            <w:r>
              <w:rPr>
                <w:b/>
                <w:sz w:val="20"/>
              </w:rPr>
              <w:t>Baseline Conversion</w:t>
            </w:r>
          </w:p>
        </w:tc>
        <w:tc>
          <w:tcPr>
            <w:tcW w:type="dxa" w:w="1987"/>
            <w:vAlign w:val="center"/>
            <w:shd w:fill="D9EAF7"/>
          </w:tcPr>
          <w:p>
            <w:r/>
            <w:r>
              <w:rPr>
                <w:b/>
                <w:sz w:val="20"/>
              </w:rPr>
              <w:t>After Removal</w:t>
            </w:r>
          </w:p>
        </w:tc>
        <w:tc>
          <w:tcPr>
            <w:tcW w:type="dxa" w:w="1987"/>
            <w:vAlign w:val="center"/>
            <w:shd w:fill="D9EAF7"/>
          </w:tcPr>
          <w:p>
            <w:r/>
            <w:r>
              <w:rPr>
                <w:b/>
                <w:sz w:val="20"/>
              </w:rPr>
              <w:t>Removal Effect</w:t>
            </w:r>
          </w:p>
        </w:tc>
      </w:tr>
      <w:tr>
        <w:tc>
          <w:tcPr>
            <w:tcW w:type="dxa" w:w="1987"/>
            <w:vAlign w:val="center"/>
          </w:tcPr>
          <w:p>
            <w:r/>
            <w:r>
              <w:rPr>
                <w:b w:val="0"/>
                <w:sz w:val="19"/>
              </w:rPr>
              <w:t>1</w:t>
            </w:r>
          </w:p>
        </w:tc>
        <w:tc>
          <w:tcPr>
            <w:tcW w:type="dxa" w:w="1987"/>
            <w:vAlign w:val="center"/>
          </w:tcPr>
          <w:p>
            <w:r/>
            <w:r>
              <w:rPr>
                <w:b w:val="0"/>
                <w:sz w:val="19"/>
              </w:rPr>
              <w:t>Email</w:t>
            </w:r>
          </w:p>
        </w:tc>
        <w:tc>
          <w:tcPr>
            <w:tcW w:type="dxa" w:w="1987"/>
            <w:vAlign w:val="center"/>
          </w:tcPr>
          <w:p>
            <w:r/>
            <w:r>
              <w:rPr>
                <w:b w:val="0"/>
                <w:sz w:val="19"/>
              </w:rPr>
              <w:t>0.60</w:t>
            </w:r>
          </w:p>
        </w:tc>
        <w:tc>
          <w:tcPr>
            <w:tcW w:type="dxa" w:w="1987"/>
            <w:vAlign w:val="center"/>
          </w:tcPr>
          <w:p>
            <w:r/>
            <w:r>
              <w:rPr>
                <w:b w:val="0"/>
                <w:sz w:val="19"/>
              </w:rPr>
              <w:t>0.38</w:t>
            </w:r>
          </w:p>
        </w:tc>
        <w:tc>
          <w:tcPr>
            <w:tcW w:type="dxa" w:w="1987"/>
            <w:vAlign w:val="center"/>
          </w:tcPr>
          <w:p>
            <w:r/>
            <w:r>
              <w:rPr>
                <w:b w:val="0"/>
                <w:sz w:val="19"/>
              </w:rPr>
              <w:t>36.67%</w:t>
            </w:r>
          </w:p>
        </w:tc>
      </w:tr>
      <w:tr>
        <w:tc>
          <w:tcPr>
            <w:tcW w:type="dxa" w:w="1987"/>
            <w:vAlign w:val="center"/>
          </w:tcPr>
          <w:p>
            <w:r/>
            <w:r>
              <w:rPr>
                <w:b w:val="0"/>
                <w:sz w:val="19"/>
              </w:rPr>
              <w:t>2</w:t>
            </w:r>
          </w:p>
        </w:tc>
        <w:tc>
          <w:tcPr>
            <w:tcW w:type="dxa" w:w="1987"/>
            <w:vAlign w:val="center"/>
          </w:tcPr>
          <w:p>
            <w:r/>
            <w:r>
              <w:rPr>
                <w:b w:val="0"/>
                <w:sz w:val="19"/>
              </w:rPr>
              <w:t>Paid Search</w:t>
            </w:r>
          </w:p>
        </w:tc>
        <w:tc>
          <w:tcPr>
            <w:tcW w:type="dxa" w:w="1987"/>
            <w:vAlign w:val="center"/>
          </w:tcPr>
          <w:p>
            <w:r/>
            <w:r>
              <w:rPr>
                <w:b w:val="0"/>
                <w:sz w:val="19"/>
              </w:rPr>
              <w:t>0.60</w:t>
            </w:r>
          </w:p>
        </w:tc>
        <w:tc>
          <w:tcPr>
            <w:tcW w:type="dxa" w:w="1987"/>
            <w:vAlign w:val="center"/>
          </w:tcPr>
          <w:p>
            <w:r/>
            <w:r>
              <w:rPr>
                <w:b w:val="0"/>
                <w:sz w:val="19"/>
              </w:rPr>
              <w:t>0.43</w:t>
            </w:r>
          </w:p>
        </w:tc>
        <w:tc>
          <w:tcPr>
            <w:tcW w:type="dxa" w:w="1987"/>
            <w:vAlign w:val="center"/>
          </w:tcPr>
          <w:p>
            <w:r/>
            <w:r>
              <w:rPr>
                <w:b w:val="0"/>
                <w:sz w:val="19"/>
              </w:rPr>
              <w:t>28.33%</w:t>
            </w:r>
          </w:p>
        </w:tc>
      </w:tr>
      <w:tr>
        <w:tc>
          <w:tcPr>
            <w:tcW w:type="dxa" w:w="1987"/>
            <w:vAlign w:val="center"/>
          </w:tcPr>
          <w:p>
            <w:r/>
            <w:r>
              <w:rPr>
                <w:b w:val="0"/>
                <w:sz w:val="19"/>
              </w:rPr>
              <w:t>3</w:t>
            </w:r>
          </w:p>
        </w:tc>
        <w:tc>
          <w:tcPr>
            <w:tcW w:type="dxa" w:w="1987"/>
            <w:vAlign w:val="center"/>
          </w:tcPr>
          <w:p>
            <w:r/>
            <w:r>
              <w:rPr>
                <w:b w:val="0"/>
                <w:sz w:val="19"/>
              </w:rPr>
              <w:t>Organic Search</w:t>
            </w:r>
          </w:p>
        </w:tc>
        <w:tc>
          <w:tcPr>
            <w:tcW w:type="dxa" w:w="1987"/>
            <w:vAlign w:val="center"/>
          </w:tcPr>
          <w:p>
            <w:r/>
            <w:r>
              <w:rPr>
                <w:b w:val="0"/>
                <w:sz w:val="19"/>
              </w:rPr>
              <w:t>0.60</w:t>
            </w:r>
          </w:p>
        </w:tc>
        <w:tc>
          <w:tcPr>
            <w:tcW w:type="dxa" w:w="1987"/>
            <w:vAlign w:val="center"/>
          </w:tcPr>
          <w:p>
            <w:r/>
            <w:r>
              <w:rPr>
                <w:b w:val="0"/>
                <w:sz w:val="19"/>
              </w:rPr>
              <w:t>0.48</w:t>
            </w:r>
          </w:p>
        </w:tc>
        <w:tc>
          <w:tcPr>
            <w:tcW w:type="dxa" w:w="1987"/>
            <w:vAlign w:val="center"/>
          </w:tcPr>
          <w:p>
            <w:r/>
            <w:r>
              <w:rPr>
                <w:b w:val="0"/>
                <w:sz w:val="19"/>
              </w:rPr>
              <w:t>20.00%</w:t>
            </w:r>
          </w:p>
        </w:tc>
      </w:tr>
      <w:tr>
        <w:tc>
          <w:tcPr>
            <w:tcW w:type="dxa" w:w="1987"/>
            <w:vAlign w:val="center"/>
          </w:tcPr>
          <w:p>
            <w:r/>
            <w:r>
              <w:rPr>
                <w:b w:val="0"/>
                <w:sz w:val="19"/>
              </w:rPr>
              <w:t>4</w:t>
            </w:r>
          </w:p>
        </w:tc>
        <w:tc>
          <w:tcPr>
            <w:tcW w:type="dxa" w:w="1987"/>
            <w:vAlign w:val="center"/>
          </w:tcPr>
          <w:p>
            <w:r/>
            <w:r>
              <w:rPr>
                <w:b w:val="0"/>
                <w:sz w:val="19"/>
              </w:rPr>
              <w:t>Referral</w:t>
            </w:r>
          </w:p>
        </w:tc>
        <w:tc>
          <w:tcPr>
            <w:tcW w:type="dxa" w:w="1987"/>
            <w:vAlign w:val="center"/>
          </w:tcPr>
          <w:p>
            <w:r/>
            <w:r>
              <w:rPr>
                <w:b w:val="0"/>
                <w:sz w:val="19"/>
              </w:rPr>
              <w:t>0.60</w:t>
            </w:r>
          </w:p>
        </w:tc>
        <w:tc>
          <w:tcPr>
            <w:tcW w:type="dxa" w:w="1987"/>
            <w:vAlign w:val="center"/>
          </w:tcPr>
          <w:p>
            <w:r/>
            <w:r>
              <w:rPr>
                <w:b w:val="0"/>
                <w:sz w:val="19"/>
              </w:rPr>
              <w:t>0.51</w:t>
            </w:r>
          </w:p>
        </w:tc>
        <w:tc>
          <w:tcPr>
            <w:tcW w:type="dxa" w:w="1987"/>
            <w:vAlign w:val="center"/>
          </w:tcPr>
          <w:p>
            <w:r/>
            <w:r>
              <w:rPr>
                <w:b w:val="0"/>
                <w:sz w:val="19"/>
              </w:rPr>
              <w:t>15.00%</w:t>
            </w:r>
          </w:p>
        </w:tc>
      </w:tr>
      <w:tr>
        <w:tc>
          <w:tcPr>
            <w:tcW w:type="dxa" w:w="1987"/>
            <w:vAlign w:val="center"/>
          </w:tcPr>
          <w:p>
            <w:r/>
            <w:r>
              <w:rPr>
                <w:b w:val="0"/>
                <w:sz w:val="19"/>
              </w:rPr>
              <w:t>5</w:t>
            </w:r>
          </w:p>
        </w:tc>
        <w:tc>
          <w:tcPr>
            <w:tcW w:type="dxa" w:w="1987"/>
            <w:vAlign w:val="center"/>
          </w:tcPr>
          <w:p>
            <w:r/>
            <w:r>
              <w:rPr>
                <w:b w:val="0"/>
                <w:sz w:val="19"/>
              </w:rPr>
              <w:t>Social Media</w:t>
            </w:r>
          </w:p>
        </w:tc>
        <w:tc>
          <w:tcPr>
            <w:tcW w:type="dxa" w:w="1987"/>
            <w:vAlign w:val="center"/>
          </w:tcPr>
          <w:p>
            <w:r/>
            <w:r>
              <w:rPr>
                <w:b w:val="0"/>
                <w:sz w:val="19"/>
              </w:rPr>
              <w:t>0.60</w:t>
            </w:r>
          </w:p>
        </w:tc>
        <w:tc>
          <w:tcPr>
            <w:tcW w:type="dxa" w:w="1987"/>
            <w:vAlign w:val="center"/>
          </w:tcPr>
          <w:p>
            <w:r/>
            <w:r>
              <w:rPr>
                <w:b w:val="0"/>
                <w:sz w:val="19"/>
              </w:rPr>
              <w:t>0.54</w:t>
            </w:r>
          </w:p>
        </w:tc>
        <w:tc>
          <w:tcPr>
            <w:tcW w:type="dxa" w:w="1987"/>
            <w:vAlign w:val="center"/>
          </w:tcPr>
          <w:p>
            <w:r/>
            <w:r>
              <w:rPr>
                <w:b w:val="0"/>
                <w:sz w:val="19"/>
              </w:rPr>
              <w:t>10.00%</w:t>
            </w:r>
          </w:p>
        </w:tc>
      </w:tr>
      <w:tr>
        <w:tc>
          <w:tcPr>
            <w:tcW w:type="dxa" w:w="1987"/>
            <w:vAlign w:val="center"/>
          </w:tcPr>
          <w:p>
            <w:r/>
            <w:r>
              <w:rPr>
                <w:b w:val="0"/>
                <w:sz w:val="19"/>
              </w:rPr>
              <w:t>6</w:t>
            </w:r>
          </w:p>
        </w:tc>
        <w:tc>
          <w:tcPr>
            <w:tcW w:type="dxa" w:w="1987"/>
            <w:vAlign w:val="center"/>
          </w:tcPr>
          <w:p>
            <w:r/>
            <w:r>
              <w:rPr>
                <w:b w:val="0"/>
                <w:sz w:val="19"/>
              </w:rPr>
              <w:t>Display Ads</w:t>
            </w:r>
          </w:p>
        </w:tc>
        <w:tc>
          <w:tcPr>
            <w:tcW w:type="dxa" w:w="1987"/>
            <w:vAlign w:val="center"/>
          </w:tcPr>
          <w:p>
            <w:r/>
            <w:r>
              <w:rPr>
                <w:b w:val="0"/>
                <w:sz w:val="19"/>
              </w:rPr>
              <w:t>0.60</w:t>
            </w:r>
          </w:p>
        </w:tc>
        <w:tc>
          <w:tcPr>
            <w:tcW w:type="dxa" w:w="1987"/>
            <w:vAlign w:val="center"/>
          </w:tcPr>
          <w:p>
            <w:r/>
            <w:r>
              <w:rPr>
                <w:b w:val="0"/>
                <w:sz w:val="19"/>
              </w:rPr>
              <w:t>0.57</w:t>
            </w:r>
          </w:p>
        </w:tc>
        <w:tc>
          <w:tcPr>
            <w:tcW w:type="dxa" w:w="1987"/>
            <w:vAlign w:val="center"/>
          </w:tcPr>
          <w:p>
            <w:r/>
            <w:r>
              <w:rPr>
                <w:b w:val="0"/>
                <w:sz w:val="19"/>
              </w:rPr>
              <w:t>5.00%</w:t>
            </w:r>
          </w:p>
        </w:tc>
      </w:tr>
      <w:tr>
        <w:tc>
          <w:tcPr>
            <w:tcW w:type="dxa" w:w="1987"/>
            <w:vAlign w:val="center"/>
          </w:tcPr>
          <w:p>
            <w:r/>
            <w:r>
              <w:rPr>
                <w:b w:val="0"/>
                <w:sz w:val="19"/>
              </w:rPr>
              <w:t>7</w:t>
            </w:r>
          </w:p>
        </w:tc>
        <w:tc>
          <w:tcPr>
            <w:tcW w:type="dxa" w:w="1987"/>
            <w:vAlign w:val="center"/>
          </w:tcPr>
          <w:p>
            <w:r/>
            <w:r>
              <w:rPr>
                <w:b w:val="0"/>
                <w:sz w:val="19"/>
              </w:rPr>
              <w:t>Direct</w:t>
            </w:r>
          </w:p>
        </w:tc>
        <w:tc>
          <w:tcPr>
            <w:tcW w:type="dxa" w:w="1987"/>
            <w:vAlign w:val="center"/>
          </w:tcPr>
          <w:p>
            <w:r/>
            <w:r>
              <w:rPr>
                <w:b w:val="0"/>
                <w:sz w:val="19"/>
              </w:rPr>
              <w:t>0.60</w:t>
            </w:r>
          </w:p>
        </w:tc>
        <w:tc>
          <w:tcPr>
            <w:tcW w:type="dxa" w:w="1987"/>
            <w:vAlign w:val="center"/>
          </w:tcPr>
          <w:p>
            <w:r/>
            <w:r>
              <w:rPr>
                <w:b w:val="0"/>
                <w:sz w:val="19"/>
              </w:rPr>
              <w:t>0.59</w:t>
            </w:r>
          </w:p>
        </w:tc>
        <w:tc>
          <w:tcPr>
            <w:tcW w:type="dxa" w:w="1987"/>
            <w:vAlign w:val="center"/>
          </w:tcPr>
          <w:p>
            <w:r/>
            <w:r>
              <w:rPr>
                <w:b w:val="0"/>
                <w:sz w:val="19"/>
              </w:rPr>
              <w:t>1.67%</w:t>
            </w:r>
          </w:p>
        </w:tc>
      </w:tr>
    </w:tbl>
    <w:p>
      <w:pPr>
        <w:spacing w:after="120"/>
      </w:pPr>
      <w:r>
        <w:t>The table is an illustrative sample report from the provided material. It shows Email as the highest-ranked channel because removing it produces the largest reduction in conversion probability in the example.</w:t>
      </w:r>
    </w:p>
    <w:p>
      <w:pPr>
        <w:pStyle w:val="Heading1"/>
      </w:pPr>
      <w:r>
        <w:t>16. Interpretation and Business Insights</w:t>
      </w:r>
    </w:p>
    <w:p>
      <w:pPr>
        <w:pStyle w:val="ListBullet"/>
        <w:spacing w:after="60"/>
      </w:pPr>
      <w:r>
        <w:t>Email has the highest example Removal Effect, indicating that it plays an important role in the modeled customer journeys.</w:t>
      </w:r>
    </w:p>
    <w:p>
      <w:pPr>
        <w:pStyle w:val="ListBullet"/>
        <w:spacing w:after="60"/>
      </w:pPr>
      <w:r>
        <w:t>Paid Search and Organic Search also have substantial effects, suggesting that search-related touchpoints influence multiple conversion paths.</w:t>
      </w:r>
    </w:p>
    <w:p>
      <w:pPr>
        <w:pStyle w:val="ListBullet"/>
        <w:spacing w:after="60"/>
      </w:pPr>
      <w:r>
        <w:t>Referral has a moderate effect, while Display Ads and Direct have smaller effects in the example.</w:t>
      </w:r>
    </w:p>
    <w:p>
      <w:pPr>
        <w:pStyle w:val="ListBullet"/>
        <w:spacing w:after="60"/>
      </w:pPr>
      <w:r>
        <w:t>A low Removal Effect does not automatically mean a channel is unimportant. Other channels may replace its role, or the channel may appear in parts of journeys where alternative routes remain available.</w:t>
      </w:r>
    </w:p>
    <w:p>
      <w:pPr>
        <w:pStyle w:val="ListBullet"/>
        <w:spacing w:after="60"/>
      </w:pPr>
      <w:r>
        <w:t>Budget decisions should combine attribution with cost, reach, campaign performance, customer segment, and strategic objectives.</w:t>
      </w:r>
    </w:p>
    <w:p>
      <w:pPr>
        <w:pStyle w:val="Heading1"/>
      </w:pPr>
      <w:r>
        <w:t>17. Handling 15 Million Path Logs</w:t>
      </w:r>
    </w:p>
    <w:p>
      <w:pPr>
        <w:spacing w:after="120"/>
      </w:pPr>
      <w:r>
        <w:t>The assignment description targets 15 million user path logs. At this scale, repeatedly analyzing every raw event for every channel removal would be inefficient. A scalable analytical workflow therefore aggregates detailed paths into transition counts once, constructs the transition matrix from those aggregates, and performs removal simulations on the much smaller state graph.</w:t>
      </w:r>
    </w:p>
    <w:p>
      <w:pPr>
        <w:pStyle w:val="ListBullet"/>
        <w:spacing w:after="60"/>
      </w:pPr>
      <w:r>
        <w:t>Use bulk ingestion for the raw path logs.</w:t>
      </w:r>
    </w:p>
    <w:p>
      <w:pPr>
        <w:pStyle w:val="ListBullet"/>
        <w:spacing w:after="60"/>
      </w:pPr>
      <w:r>
        <w:t>Partition detailed data by an appropriate time dimension when supported.</w:t>
      </w:r>
    </w:p>
    <w:p>
      <w:pPr>
        <w:pStyle w:val="ListBullet"/>
        <w:spacing w:after="60"/>
      </w:pPr>
      <w:r>
        <w:t>Maintain efficient access paths for journey ID, event order, and date.</w:t>
      </w:r>
    </w:p>
    <w:p>
      <w:pPr>
        <w:pStyle w:val="ListBullet"/>
        <w:spacing w:after="60"/>
      </w:pPr>
      <w:r>
        <w:t>Create adjacent transitions once rather than reconstructing them repeatedly.</w:t>
      </w:r>
    </w:p>
    <w:p>
      <w:pPr>
        <w:pStyle w:val="ListBullet"/>
        <w:spacing w:after="60"/>
      </w:pPr>
      <w:r>
        <w:t>Store aggregated transition counts for repeated analysis.</w:t>
      </w:r>
    </w:p>
    <w:p>
      <w:pPr>
        <w:pStyle w:val="ListBullet"/>
        <w:spacing w:after="60"/>
      </w:pPr>
      <w:r>
        <w:t>Run channel-removal calculations on the aggregated graph.</w:t>
      </w:r>
    </w:p>
    <w:p>
      <w:pPr>
        <w:pStyle w:val="ListBullet"/>
        <w:spacing w:after="60"/>
      </w:pPr>
      <w:r>
        <w:t>Validate counts, conversion totals, and probability row sums before reporting results.</w:t>
      </w:r>
    </w:p>
    <w:p>
      <w:pPr>
        <w:spacing w:after="120"/>
      </w:pPr>
      <w:r>
        <w:t>The provided sample results include a production-style summary of 15,000,000 paths, 4,200,000 converted paths, 10,800,000 non-converted paths, and an overall conversion rate of 28.00%. These figures are presented as illustrative sample results in the source material.</w:t>
      </w:r>
    </w:p>
    <w:p>
      <w:pPr>
        <w:pStyle w:val="Heading1"/>
      </w:pPr>
      <w:r>
        <w:t>18. Advantages</w:t>
      </w:r>
    </w:p>
    <w:p>
      <w:pPr>
        <w:pStyle w:val="ListBullet"/>
        <w:spacing w:after="60"/>
      </w:pPr>
      <w:r>
        <w:t>Uses the complete customer journey rather than only the last touch.</w:t>
      </w:r>
    </w:p>
    <w:p>
      <w:pPr>
        <w:pStyle w:val="ListBullet"/>
        <w:spacing w:after="60"/>
      </w:pPr>
      <w:r>
        <w:t>Captures interactions among marketing channels.</w:t>
      </w:r>
    </w:p>
    <w:p>
      <w:pPr>
        <w:pStyle w:val="ListBullet"/>
        <w:spacing w:after="60"/>
      </w:pPr>
      <w:r>
        <w:t>Provides a mathematically defined channel-removal metric.</w:t>
      </w:r>
    </w:p>
    <w:p>
      <w:pPr>
        <w:pStyle w:val="ListBullet"/>
        <w:spacing w:after="60"/>
      </w:pPr>
      <w:r>
        <w:t>Can support large numbers of customer paths when the workflow is aggregated efficiently.</w:t>
      </w:r>
    </w:p>
    <w:p>
      <w:pPr>
        <w:pStyle w:val="ListBullet"/>
        <w:spacing w:after="60"/>
      </w:pPr>
      <w:r>
        <w:t>Makes repeated attribution analysis more manageable by using a compact transition graph.</w:t>
      </w:r>
    </w:p>
    <w:p>
      <w:pPr>
        <w:pStyle w:val="Heading1"/>
      </w:pPr>
      <w:r>
        <w:t>19. Limitations</w:t>
      </w:r>
    </w:p>
    <w:p>
      <w:pPr>
        <w:pStyle w:val="ListBullet"/>
        <w:spacing w:after="60"/>
      </w:pPr>
      <w:r>
        <w:t>Markov attribution depends on the observed journeys and transition structure.</w:t>
      </w:r>
    </w:p>
    <w:p>
      <w:pPr>
        <w:pStyle w:val="ListBullet"/>
        <w:spacing w:after="60"/>
      </w:pPr>
      <w:r>
        <w:t>Removal Effect is an attribution measure and is not, by itself, a causal estimate.</w:t>
      </w:r>
    </w:p>
    <w:p>
      <w:pPr>
        <w:pStyle w:val="ListBullet"/>
        <w:spacing w:after="60"/>
      </w:pPr>
      <w:r>
        <w:t>Very sparse channels can produce unstable estimates.</w:t>
      </w:r>
    </w:p>
    <w:p>
      <w:pPr>
        <w:pStyle w:val="ListBullet"/>
        <w:spacing w:after="60"/>
      </w:pPr>
      <w:r>
        <w:t>Data privacy, consent, and data quality must be respected.</w:t>
      </w:r>
    </w:p>
    <w:p>
      <w:pPr>
        <w:pStyle w:val="ListBullet"/>
        <w:spacing w:after="60"/>
      </w:pPr>
      <w:r>
        <w:t>High-dimensional implementations require efficient storage, computation, and validation.</w:t>
      </w:r>
    </w:p>
    <w:p>
      <w:pPr>
        <w:pStyle w:val="Heading1"/>
      </w:pPr>
      <w:r>
        <w:t>20. Conclusion</w:t>
      </w:r>
    </w:p>
    <w:p>
      <w:pPr>
        <w:spacing w:after="120"/>
      </w:pPr>
      <w:r>
        <w:t>This assignment presents a complete Markov Chain based multi-channel marketing attribution workflow without requiring program implementation. Customer journeys are represented as ordered channel sequences, transitions are summarized into probabilities, conversion probability is estimated from the resulting graph, and the contribution of each channel is evaluated through systematic removal. The sample results show how channels can be ranked by Removal Effect. For a 15-million-path production workload, the same analytical framework can be scaled by separating raw journey storage from aggregated transition analysis and by using efficient batch processing and validation.</w:t>
      </w:r>
    </w:p>
    <w:p>
      <w:pPr>
        <w:pStyle w:val="Heading1"/>
      </w:pPr>
      <w:r>
        <w:t>21. Viva Questions and Answers</w:t>
      </w:r>
    </w:p>
    <w:p>
      <w:pPr>
        <w:spacing w:after="40"/>
      </w:pPr>
      <w:r>
        <w:rPr>
          <w:b/>
        </w:rPr>
        <w:t>Q: What is a Markov Chain?</w:t>
      </w:r>
    </w:p>
    <w:p>
      <w:pPr>
        <w:spacing w:after="100"/>
        <w:ind w:left="288"/>
      </w:pPr>
      <w:r>
        <w:t>A: A stochastic model in which the next state depends on the current state according to transition probabilities.</w:t>
      </w:r>
    </w:p>
    <w:p>
      <w:pPr>
        <w:spacing w:after="40"/>
      </w:pPr>
      <w:r>
        <w:rPr>
          <w:b/>
        </w:rPr>
        <w:t>Q: What is a transition matrix?</w:t>
      </w:r>
    </w:p>
    <w:p>
      <w:pPr>
        <w:spacing w:after="100"/>
        <w:ind w:left="288"/>
      </w:pPr>
      <w:r>
        <w:t>A: A matrix containing the probabilities of moving from one state to another.</w:t>
      </w:r>
    </w:p>
    <w:p>
      <w:pPr>
        <w:spacing w:after="40"/>
      </w:pPr>
      <w:r>
        <w:rPr>
          <w:b/>
        </w:rPr>
        <w:t>Q: What is an absorbing state?</w:t>
      </w:r>
    </w:p>
    <w:p>
      <w:pPr>
        <w:spacing w:after="100"/>
        <w:ind w:left="288"/>
      </w:pPr>
      <w:r>
        <w:t>A: A state that, once reached, cannot be left; in this assignment, Conversion and Null are absorbing states.</w:t>
      </w:r>
    </w:p>
    <w:p>
      <w:pPr>
        <w:spacing w:after="40"/>
      </w:pPr>
      <w:r>
        <w:rPr>
          <w:b/>
        </w:rPr>
        <w:t>Q: What is Removal Effect?</w:t>
      </w:r>
    </w:p>
    <w:p>
      <w:pPr>
        <w:spacing w:after="100"/>
        <w:ind w:left="288"/>
      </w:pPr>
      <w:r>
        <w:t>A: The relative reduction in conversion probability after a channel is removed from the transition graph.</w:t>
      </w:r>
    </w:p>
    <w:p>
      <w:pPr>
        <w:spacing w:after="40"/>
      </w:pPr>
      <w:r>
        <w:rPr>
          <w:b/>
        </w:rPr>
        <w:t>Q: Why use Markov attribution?</w:t>
      </w:r>
    </w:p>
    <w:p>
      <w:pPr>
        <w:spacing w:after="100"/>
        <w:ind w:left="288"/>
      </w:pPr>
      <w:r>
        <w:t>A: It evaluates channel contribution across complete customer paths rather than assigning credit only to one touch.</w:t>
      </w:r>
    </w:p>
    <w:p>
      <w:pPr>
        <w:spacing w:after="40"/>
      </w:pPr>
      <w:r>
        <w:rPr>
          <w:b/>
        </w:rPr>
        <w:t>Q: Why aggregate transitions?</w:t>
      </w:r>
    </w:p>
    <w:p>
      <w:pPr>
        <w:spacing w:after="100"/>
        <w:ind w:left="288"/>
      </w:pPr>
      <w:r>
        <w:t>A: Aggregation reduces a very large event dataset to a much smaller graph that can be analyzed efficiently.</w:t>
      </w:r>
    </w:p>
    <w:p>
      <w:pPr>
        <w:spacing w:after="40"/>
      </w:pPr>
      <w:r>
        <w:rPr>
          <w:b/>
        </w:rPr>
        <w:t>Q: What does a high Removal Effect mean?</w:t>
      </w:r>
    </w:p>
    <w:p>
      <w:pPr>
        <w:spacing w:after="100"/>
        <w:ind w:left="288"/>
      </w:pPr>
      <w:r>
        <w:t>A: Removing that channel substantially reduces the model’s conversion probability.</w:t>
      </w:r>
    </w:p>
    <w:p>
      <w:pPr>
        <w:spacing w:after="40"/>
      </w:pPr>
      <w:r>
        <w:rPr>
          <w:b/>
        </w:rPr>
        <w:t>Q: Is Removal Effect causal?</w:t>
      </w:r>
    </w:p>
    <w:p>
      <w:pPr>
        <w:spacing w:after="100"/>
        <w:ind w:left="288"/>
      </w:pPr>
      <w:r>
        <w:t>A: No. It is an attribution measure based on observed transition patterns, not a controlled causal experiment.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WEEK-6 BA – Multi-Channel Marketing Attribution | Complete Non-Code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