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32"/>
          <w:szCs w:val="32"/>
        </w:rPr>
        <w:t xml:space="preserve">VERIDIA TECH SOLUTIONS PVT. LTD.</w:t>
      </w:r>
    </w:p>
    <w:p>
      <w:pPr>
        <w:spacing w:before="0" w:after="80"/>
        <w:jc w:val="center"/>
      </w:pPr>
      <w:r>
        <w:rPr>
          <w:rFonts w:ascii="Arial" w:cs="Arial" w:eastAsia="Arial" w:hAnsi="Arial"/>
          <w:b/>
          <w:bCs/>
          <w:sz w:val="26"/>
          <w:szCs w:val="26"/>
        </w:rPr>
        <w:t xml:space="preserve">GROUP HEALTH INSURANCE – REQUEST FOR PROPOSAL</w:t>
      </w:r>
    </w:p>
    <w:p>
      <w:pPr>
        <w:spacing w:before="0" w:after="80"/>
        <w:jc w:val="center"/>
      </w:pPr>
      <w:r>
        <w:rPr>
          <w:rFonts w:ascii="Arial" w:cs="Arial" w:eastAsia="Arial" w:hAnsi="Arial"/>
          <w:sz w:val="20"/>
          <w:szCs w:val="20"/>
        </w:rPr>
        <w:t xml:space="preserve">RFP Reference No.: VTS/HR/GHI/2025-26/001</w:t>
      </w:r>
    </w:p>
    <w:p>
      <w:pPr>
        <w:spacing w:before="0" w:after="200"/>
        <w:jc w:val="center"/>
      </w:pPr>
      <w:r>
        <w:rPr>
          <w:rFonts w:ascii="Arial" w:cs="Arial" w:eastAsia="Arial" w:hAnsi="Arial"/>
          <w:i/>
          <w:iCs/>
          <w:sz w:val="20"/>
          <w:szCs w:val="20"/>
        </w:rPr>
        <w:t xml:space="preserve">Issue Date: 01 April 2025     |     Last Date for Submission: 30 April 2025</w:t>
      </w:r>
    </w:p>
    <w:p>
      <w:pPr>
        <w:pBdr>
          <w:bottom w:val="single" w:color="2E75B6" w:sz="4"/>
        </w:pBdr>
        <w:spacing w:before="120" w:after="120"/>
      </w:pPr>
    </w:p>
    <w:p>
      <w:pPr>
        <w:pStyle w:val="Heading1"/>
        <w:spacing w:before="300" w:after="150"/>
      </w:pPr>
      <w:r>
        <w:rPr>
          <w:rFonts w:ascii="Arial" w:cs="Arial" w:eastAsia="Arial" w:hAnsi="Arial"/>
          <w:b/>
          <w:bCs/>
          <w:color w:val="1F4E79"/>
          <w:sz w:val="28"/>
          <w:szCs w:val="28"/>
        </w:rPr>
        <w:t xml:space="preserve">SECTION 1: COMPANY BACKGROUND &amp; SCOPE</w:t>
      </w:r>
    </w:p>
    <w:p>
      <w:pPr>
        <w:spacing w:before="80" w:after="80"/>
      </w:pPr>
      <w:r>
        <w:rPr>
          <w:rFonts w:ascii="Arial" w:cs="Arial" w:eastAsia="Arial" w:hAnsi="Arial"/>
          <w:sz w:val="20"/>
          <w:szCs w:val="20"/>
        </w:rPr>
        <w:t xml:space="preserve">Veridia Tech Solutions Pvt. Ltd. (hereinafter referred to as 'the Company') is a technology services firm headquartered in Bengaluru, Karnataka, with branch offices in Hyderabad, Pune, and Chennai. The Company currently employs 1,200 permanent employees and seeks to procure a comprehensive Group Health Insurance (GHI) policy for the Policy Year 2025–26.</w:t>
      </w:r>
    </w:p>
    <w:p>
      <w:pPr>
        <w:spacing w:before="80" w:after="80"/>
      </w:pPr>
      <w:r>
        <w:rPr>
          <w:rFonts w:ascii="Arial" w:cs="Arial" w:eastAsia="Arial" w:hAnsi="Arial"/>
          <w:sz w:val="20"/>
          <w:szCs w:val="20"/>
        </w:rPr>
        <w:t xml:space="preserve">This Request for Proposal (RFP) invites eligible and IRDAI-licensed General Insurance companies and Standalone Health Insurers to submit competitive quotations for the Group Mediclaim Policy. The selected insurer shall be required to provide coverage for employees and their eligible dependants as specified herein.</w:t>
      </w:r>
    </w:p>
    <w:p>
      <w:r>
        <w:t xml:space="preserve"/>
      </w:r>
    </w:p>
    <w:p>
      <w:pPr>
        <w:pStyle w:val="Heading1"/>
        <w:spacing w:before="300" w:after="150"/>
      </w:pPr>
      <w:r>
        <w:rPr>
          <w:rFonts w:ascii="Arial" w:cs="Arial" w:eastAsia="Arial" w:hAnsi="Arial"/>
          <w:b/>
          <w:bCs/>
          <w:color w:val="1F4E79"/>
          <w:sz w:val="28"/>
          <w:szCs w:val="28"/>
        </w:rPr>
        <w:t xml:space="preserve">SECTION 2: ELIGIBLE MEMBERS &amp; FLOATER DEFINITION</w:t>
      </w:r>
    </w:p>
    <w:p>
      <w:pPr>
        <w:spacing w:before="80" w:after="80"/>
      </w:pPr>
      <w:r>
        <w:rPr>
          <w:rFonts w:ascii="Arial" w:cs="Arial" w:eastAsia="Arial" w:hAnsi="Arial"/>
          <w:b/>
          <w:bCs/>
          <w:sz w:val="20"/>
          <w:szCs w:val="20"/>
        </w:rPr>
        <w:t xml:space="preserve">Clause 2.1 – Employee Coverage</w:t>
      </w:r>
    </w:p>
    <w:p>
      <w:pPr>
        <w:spacing w:before="80" w:after="80"/>
      </w:pPr>
      <w:r>
        <w:rPr>
          <w:rFonts w:ascii="Arial" w:cs="Arial" w:eastAsia="Arial" w:hAnsi="Arial"/>
          <w:sz w:val="20"/>
          <w:szCs w:val="20"/>
        </w:rPr>
        <w:t xml:space="preserve">All permanent employees on the payroll of Veridia Tech Solutions Pvt. Ltd. as on the inception date of the policy shall be covered under this scheme. Contractual and third-party payroll employees are excluded unless specifically agreed upon.</w:t>
      </w:r>
    </w:p>
    <w:p>
      <w:pPr>
        <w:spacing w:before="80" w:after="80"/>
      </w:pPr>
      <w:r>
        <w:rPr>
          <w:rFonts w:ascii="Arial" w:cs="Arial" w:eastAsia="Arial" w:hAnsi="Arial"/>
          <w:b/>
          <w:bCs/>
          <w:sz w:val="20"/>
          <w:szCs w:val="20"/>
        </w:rPr>
        <w:t xml:space="preserve">Clause 2.2 – Dependant Coverage</w:t>
      </w:r>
    </w:p>
    <w:p>
      <w:pPr>
        <w:spacing w:before="80" w:after="80"/>
      </w:pPr>
      <w:r>
        <w:rPr>
          <w:rFonts w:ascii="Arial" w:cs="Arial" w:eastAsia="Arial" w:hAnsi="Arial"/>
          <w:sz w:val="20"/>
          <w:szCs w:val="20"/>
        </w:rPr>
        <w:t xml:space="preserve">Each employee shall be entitled to cover the following dependants under a family floater arrangement:</w:t>
      </w:r>
    </w:p>
    <w:p>
      <w:pPr>
        <w:pStyle w:val="ListParagraph"/>
        <w:numPr>
          <w:ilvl w:val="0"/>
          <w:numId w:val="2"/>
        </w:numPr>
        <w:spacing w:before="60" w:after="60"/>
      </w:pPr>
      <w:r>
        <w:rPr>
          <w:rFonts w:ascii="Arial" w:cs="Arial" w:eastAsia="Arial" w:hAnsi="Arial"/>
          <w:sz w:val="20"/>
          <w:szCs w:val="20"/>
        </w:rPr>
        <w:t xml:space="preserve">Spouse (legally married)</w:t>
      </w:r>
    </w:p>
    <w:p>
      <w:pPr>
        <w:pStyle w:val="ListParagraph"/>
        <w:numPr>
          <w:ilvl w:val="0"/>
          <w:numId w:val="2"/>
        </w:numPr>
        <w:spacing w:before="60" w:after="60"/>
      </w:pPr>
      <w:r>
        <w:rPr>
          <w:rFonts w:ascii="Arial" w:cs="Arial" w:eastAsia="Arial" w:hAnsi="Arial"/>
          <w:sz w:val="20"/>
          <w:szCs w:val="20"/>
        </w:rPr>
        <w:t xml:space="preserve">Dependent children up to age 25 (unmarried)</w:t>
      </w:r>
    </w:p>
    <w:p>
      <w:pPr>
        <w:pStyle w:val="ListParagraph"/>
        <w:numPr>
          <w:ilvl w:val="0"/>
          <w:numId w:val="2"/>
        </w:numPr>
        <w:spacing w:before="60" w:after="60"/>
      </w:pPr>
      <w:r>
        <w:rPr>
          <w:rFonts w:ascii="Arial" w:cs="Arial" w:eastAsia="Arial" w:hAnsi="Arial"/>
          <w:sz w:val="20"/>
          <w:szCs w:val="20"/>
        </w:rPr>
        <w:t xml:space="preserve">Parents or Parents-in-Law (one set, employee's choice) – subject to a separate parental floater sub-plan</w:t>
      </w:r>
    </w:p>
    <w:p>
      <w:pPr>
        <w:spacing w:before="80" w:after="80"/>
      </w:pPr>
      <w:r>
        <w:rPr>
          <w:rFonts w:ascii="Arial" w:cs="Arial" w:eastAsia="Arial" w:hAnsi="Arial"/>
          <w:b/>
          <w:bCs/>
          <w:sz w:val="20"/>
          <w:szCs w:val="20"/>
        </w:rPr>
        <w:t xml:space="preserve">Clause 2.3 – Family Floater Definition</w:t>
      </w:r>
    </w:p>
    <w:p>
      <w:pPr>
        <w:spacing w:before="80" w:after="80"/>
      </w:pPr>
      <w:r>
        <w:rPr>
          <w:rFonts w:ascii="Arial" w:cs="Arial" w:eastAsia="Arial" w:hAnsi="Arial"/>
          <w:sz w:val="20"/>
          <w:szCs w:val="20"/>
        </w:rPr>
        <w:t xml:space="preserve">The family floater sum insured of ₹5,00,000 (Rupees Five Lakhs Only) per family per policy year shall be available as a floating pool for the employee and up to three dependants (spouse + two children). Parents shall be covered under a separate floater of ₹3,00,000 per parental unit.</w:t>
      </w:r>
    </w:p>
    <w:p>
      <w:r>
        <w:t xml:space="preserve"/>
      </w:r>
    </w:p>
    <w:p>
      <w:pPr>
        <w:pStyle w:val="Heading1"/>
        <w:spacing w:before="300" w:after="150"/>
      </w:pPr>
      <w:r>
        <w:rPr>
          <w:rFonts w:ascii="Arial" w:cs="Arial" w:eastAsia="Arial" w:hAnsi="Arial"/>
          <w:b/>
          <w:bCs/>
          <w:color w:val="1F4E79"/>
          <w:sz w:val="28"/>
          <w:szCs w:val="28"/>
        </w:rPr>
        <w:t xml:space="preserve">SECTION 3: SUM INSURED &amp; COVERAGE LIMITS</w:t>
      </w:r>
    </w:p>
    <w:p>
      <w:pPr>
        <w:spacing w:before="80" w:after="80"/>
      </w:pPr>
      <w:r>
        <w:rPr>
          <w:rFonts w:ascii="Arial" w:cs="Arial" w:eastAsia="Arial" w:hAnsi="Arial"/>
          <w:b/>
          <w:bCs/>
          <w:sz w:val="20"/>
          <w:szCs w:val="20"/>
        </w:rPr>
        <w:t xml:space="preserve">Clause 3.1 – Base Sum Insured</w:t>
      </w:r>
    </w:p>
    <w:p>
      <w:pPr>
        <w:spacing w:before="80" w:after="80"/>
      </w:pPr>
      <w:r>
        <w:rPr>
          <w:rFonts w:ascii="Arial" w:cs="Arial" w:eastAsia="Arial" w:hAnsi="Arial"/>
          <w:sz w:val="20"/>
          <w:szCs w:val="20"/>
        </w:rPr>
        <w:t xml:space="preserve">The base Sum Insured (SI) shall be ₹5,00,000 (Rupees Five Lakhs Only) per employee and covered family per annum on a floater basis. This is the maximum liability of the insurer in respect of all claims made by the insured family during the policy year.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rPr>
          <w:tblHeader/>
        </w:trP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Employee Grade</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Sum Insured (Floater)</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Parental SI (Optional)</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Grade A (Manager &amp; Above)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₹7,50,000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₹4,00,000</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Grade B (Senior Executive)</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₹5,00,000</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₹3,00,000</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Grade C (Executive &amp; Below)</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₹3,00,000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₹2,00,000</w:t>
            </w:r>
          </w:p>
        </w:tc>
      </w:tr>
    </w:tbl>
    <w:p>
      <w:r>
        <w:t xml:space="preserve"/>
      </w:r>
    </w:p>
    <w:p>
      <w:pPr>
        <w:pStyle w:val="Heading1"/>
        <w:spacing w:before="300" w:after="150"/>
      </w:pPr>
      <w:r>
        <w:rPr>
          <w:rFonts w:ascii="Arial" w:cs="Arial" w:eastAsia="Arial" w:hAnsi="Arial"/>
          <w:b/>
          <w:bCs/>
          <w:color w:val="1F4E79"/>
          <w:sz w:val="28"/>
          <w:szCs w:val="28"/>
        </w:rPr>
        <w:t xml:space="preserve">SECTION 4: SUB-LIMITS</w:t>
      </w:r>
    </w:p>
    <w:p>
      <w:pPr>
        <w:spacing w:before="80" w:after="80"/>
      </w:pPr>
      <w:r>
        <w:rPr>
          <w:rFonts w:ascii="Arial" w:cs="Arial" w:eastAsia="Arial" w:hAnsi="Arial"/>
          <w:b/>
          <w:bCs/>
          <w:sz w:val="20"/>
          <w:szCs w:val="20"/>
        </w:rPr>
        <w:t xml:space="preserve">Clause 4.1 – Room Rent</w:t>
      </w:r>
    </w:p>
    <w:p>
      <w:pPr>
        <w:spacing w:before="80" w:after="80"/>
      </w:pPr>
      <w:r>
        <w:rPr>
          <w:rFonts w:ascii="Arial" w:cs="Arial" w:eastAsia="Arial" w:hAnsi="Arial"/>
          <w:sz w:val="20"/>
          <w:szCs w:val="20"/>
        </w:rPr>
        <w:t xml:space="preserve">Room rent shall be capped at 1% of the Sum Insured per day, i.e., ₹5,000 per day for a ₹5,00,000 SI plan. In the event the insured opts for a room above the entitled category, proportionate deduction shall apply on all associated charges (surgeon fees, consultation, diagnostics, etc.).</w:t>
      </w:r>
    </w:p>
    <w:p>
      <w:pPr>
        <w:spacing w:before="80" w:after="80"/>
      </w:pPr>
      <w:r>
        <w:rPr>
          <w:rFonts w:ascii="Arial" w:cs="Arial" w:eastAsia="Arial" w:hAnsi="Arial"/>
          <w:b/>
          <w:bCs/>
          <w:sz w:val="20"/>
          <w:szCs w:val="20"/>
        </w:rPr>
        <w:t xml:space="preserve">Clause 4.2 – ICU / ICCU Charges</w:t>
      </w:r>
    </w:p>
    <w:p>
      <w:pPr>
        <w:spacing w:before="80" w:after="80"/>
      </w:pPr>
      <w:r>
        <w:rPr>
          <w:rFonts w:ascii="Arial" w:cs="Arial" w:eastAsia="Arial" w:hAnsi="Arial"/>
          <w:sz w:val="20"/>
          <w:szCs w:val="20"/>
        </w:rPr>
        <w:t xml:space="preserve">ICU/ICCU charges shall be capped at 2% of the Sum Insured per day, i.e., ₹10,000 per day for a ₹5,00,000 SI plan. Charges above the cap shall be borne by the insured.</w:t>
      </w:r>
    </w:p>
    <w:p>
      <w:pPr>
        <w:spacing w:before="80" w:after="80"/>
      </w:pPr>
      <w:r>
        <w:rPr>
          <w:rFonts w:ascii="Arial" w:cs="Arial" w:eastAsia="Arial" w:hAnsi="Arial"/>
          <w:b/>
          <w:bCs/>
          <w:sz w:val="20"/>
          <w:szCs w:val="20"/>
        </w:rPr>
        <w:t xml:space="preserve">Clause 4.3 – Day Care Procedures</w:t>
      </w:r>
    </w:p>
    <w:p>
      <w:pPr>
        <w:spacing w:before="80" w:after="80"/>
      </w:pPr>
      <w:r>
        <w:rPr>
          <w:rFonts w:ascii="Arial" w:cs="Arial" w:eastAsia="Arial" w:hAnsi="Arial"/>
          <w:sz w:val="20"/>
          <w:szCs w:val="20"/>
        </w:rPr>
        <w:t xml:space="preserve">All day care procedures listed in the IRDAI standardised list (as amended from time to time) are covered subject to the overall sum insured. There is no minimum hospitalisation requirement for listed day care procedures.</w:t>
      </w:r>
    </w:p>
    <w:p>
      <w:pPr>
        <w:spacing w:before="80" w:after="80"/>
      </w:pPr>
      <w:r>
        <w:rPr>
          <w:rFonts w:ascii="Arial" w:cs="Arial" w:eastAsia="Arial" w:hAnsi="Arial"/>
          <w:b/>
          <w:bCs/>
          <w:sz w:val="20"/>
          <w:szCs w:val="20"/>
        </w:rPr>
        <w:t xml:space="preserve">Clause 4.4 – Ambulance Charges</w:t>
      </w:r>
    </w:p>
    <w:p>
      <w:pPr>
        <w:spacing w:before="80" w:after="80"/>
      </w:pPr>
      <w:r>
        <w:rPr>
          <w:rFonts w:ascii="Arial" w:cs="Arial" w:eastAsia="Arial" w:hAnsi="Arial"/>
          <w:sz w:val="20"/>
          <w:szCs w:val="20"/>
        </w:rPr>
        <w:t xml:space="preserve">Emergency ambulance charges are payable up to ₹2,000 per hospitalisation event, subject to actual and reasonable charges.</w:t>
      </w:r>
    </w:p>
    <w:p>
      <w:pPr>
        <w:spacing w:before="80" w:after="80"/>
      </w:pPr>
      <w:r>
        <w:rPr>
          <w:rFonts w:ascii="Arial" w:cs="Arial" w:eastAsia="Arial" w:hAnsi="Arial"/>
          <w:b/>
          <w:bCs/>
          <w:sz w:val="20"/>
          <w:szCs w:val="20"/>
        </w:rPr>
        <w:t xml:space="preserve">Clause 4.5 – Domiciliary Hospitalisation</w:t>
      </w:r>
    </w:p>
    <w:p>
      <w:pPr>
        <w:spacing w:before="80" w:after="80"/>
      </w:pPr>
      <w:r>
        <w:rPr>
          <w:rFonts w:ascii="Arial" w:cs="Arial" w:eastAsia="Arial" w:hAnsi="Arial"/>
          <w:sz w:val="20"/>
          <w:szCs w:val="20"/>
        </w:rPr>
        <w:t xml:space="preserve">Domiciliary hospitalisation is covered up to 10% of the Sum Insured (i.e., ₹50,000 for a ₹5,00,000 SI) provided the treating physician certifies that hospitalisation was not possible due to non-availability of beds or the patient's physical condition.</w:t>
      </w:r>
    </w:p>
    <w:p>
      <w:pPr>
        <w:spacing w:before="80" w:after="80"/>
      </w:pPr>
      <w:r>
        <w:rPr>
          <w:rFonts w:ascii="Arial" w:cs="Arial" w:eastAsia="Arial" w:hAnsi="Arial"/>
          <w:b/>
          <w:bCs/>
          <w:sz w:val="20"/>
          <w:szCs w:val="20"/>
        </w:rPr>
        <w:t xml:space="preserve">Clause 4.6 – Organ Donor Expenses</w:t>
      </w:r>
    </w:p>
    <w:p>
      <w:pPr>
        <w:spacing w:before="80" w:after="80"/>
      </w:pPr>
      <w:r>
        <w:rPr>
          <w:rFonts w:ascii="Arial" w:cs="Arial" w:eastAsia="Arial" w:hAnsi="Arial"/>
          <w:sz w:val="20"/>
          <w:szCs w:val="20"/>
        </w:rPr>
        <w:t xml:space="preserve">Medical expenses incurred by the organ donor for the harvesting procedure are covered up to ₹1,00,000, subject to the donor being a member of the insured's family or as permitted under the Transplantation of Human Organs Act, 1994.</w:t>
      </w:r>
    </w:p>
    <w:p>
      <w:r>
        <w:t xml:space="preserve"/>
      </w:r>
    </w:p>
    <w:p>
      <w:pPr>
        <w:pStyle w:val="Heading1"/>
        <w:spacing w:before="300" w:after="150"/>
      </w:pPr>
      <w:r>
        <w:rPr>
          <w:rFonts w:ascii="Arial" w:cs="Arial" w:eastAsia="Arial" w:hAnsi="Arial"/>
          <w:b/>
          <w:bCs/>
          <w:color w:val="1F4E79"/>
          <w:sz w:val="28"/>
          <w:szCs w:val="28"/>
        </w:rPr>
        <w:t xml:space="preserve">SECTION 5: CO-PAY CLAUSES</w:t>
      </w:r>
    </w:p>
    <w:p>
      <w:pPr>
        <w:spacing w:before="80" w:after="80"/>
      </w:pPr>
      <w:r>
        <w:rPr>
          <w:rFonts w:ascii="Arial" w:cs="Arial" w:eastAsia="Arial" w:hAnsi="Arial"/>
          <w:b/>
          <w:bCs/>
          <w:sz w:val="20"/>
          <w:szCs w:val="20"/>
        </w:rPr>
        <w:t xml:space="preserve">Clause 5.1 – Standard Co-Pay</w:t>
      </w:r>
    </w:p>
    <w:p>
      <w:pPr>
        <w:spacing w:before="80" w:after="80"/>
      </w:pPr>
      <w:r>
        <w:rPr>
          <w:rFonts w:ascii="Arial" w:cs="Arial" w:eastAsia="Arial" w:hAnsi="Arial"/>
          <w:sz w:val="20"/>
          <w:szCs w:val="20"/>
        </w:rPr>
        <w:t xml:space="preserve">There shall be NO standard co-pay applicable for in-network hospitalisation. The insurer shall bear 100% of admissible claim expenses, subject to sub-limits and sum insured.</w:t>
      </w:r>
    </w:p>
    <w:p>
      <w:pPr>
        <w:spacing w:before="80" w:after="80"/>
      </w:pPr>
      <w:r>
        <w:rPr>
          <w:rFonts w:ascii="Arial" w:cs="Arial" w:eastAsia="Arial" w:hAnsi="Arial"/>
          <w:b/>
          <w:bCs/>
          <w:sz w:val="20"/>
          <w:szCs w:val="20"/>
        </w:rPr>
        <w:t xml:space="preserve">Clause 5.2 – Out-of-Network Co-Pay</w:t>
      </w:r>
    </w:p>
    <w:p>
      <w:pPr>
        <w:spacing w:before="80" w:after="80"/>
      </w:pPr>
      <w:r>
        <w:rPr>
          <w:rFonts w:ascii="Arial" w:cs="Arial" w:eastAsia="Arial" w:hAnsi="Arial"/>
          <w:sz w:val="20"/>
          <w:szCs w:val="20"/>
        </w:rPr>
        <w:t xml:space="preserve">For claims arising from hospitalisation at non-empanelled / out-of-network hospitals, a co-pay of 20% of the admissible claim amount shall apply. The remaining 80% shall be reimbursed by the insurer subject to policy terms.</w:t>
      </w:r>
    </w:p>
    <w:p>
      <w:pPr>
        <w:spacing w:before="80" w:after="80"/>
      </w:pPr>
      <w:r>
        <w:rPr>
          <w:rFonts w:ascii="Arial" w:cs="Arial" w:eastAsia="Arial" w:hAnsi="Arial"/>
          <w:b/>
          <w:bCs/>
          <w:sz w:val="20"/>
          <w:szCs w:val="20"/>
        </w:rPr>
        <w:t xml:space="preserve">Clause 5.3 – Parental Cover Co-Pay</w:t>
      </w:r>
    </w:p>
    <w:p>
      <w:pPr>
        <w:spacing w:before="80" w:after="80"/>
      </w:pPr>
      <w:r>
        <w:rPr>
          <w:rFonts w:ascii="Arial" w:cs="Arial" w:eastAsia="Arial" w:hAnsi="Arial"/>
          <w:sz w:val="20"/>
          <w:szCs w:val="20"/>
        </w:rPr>
        <w:t xml:space="preserve">Parents and Parents-in-Law covered under the parental floater shall be subject to a co-pay of 20% on all admissible claims, irrespective of network status.</w:t>
      </w:r>
    </w:p>
    <w:p>
      <w:r>
        <w:t xml:space="preserve"/>
      </w:r>
    </w:p>
    <w:p>
      <w:pPr>
        <w:pStyle w:val="Heading1"/>
        <w:spacing w:before="300" w:after="150"/>
      </w:pPr>
      <w:r>
        <w:rPr>
          <w:rFonts w:ascii="Arial" w:cs="Arial" w:eastAsia="Arial" w:hAnsi="Arial"/>
          <w:b/>
          <w:bCs/>
          <w:color w:val="1F4E79"/>
          <w:sz w:val="28"/>
          <w:szCs w:val="28"/>
        </w:rPr>
        <w:t xml:space="preserve">SECTION 6: WAITING PERIODS</w:t>
      </w:r>
    </w:p>
    <w:p>
      <w:pPr>
        <w:spacing w:before="80" w:after="80"/>
      </w:pPr>
      <w:r>
        <w:rPr>
          <w:rFonts w:ascii="Arial" w:cs="Arial" w:eastAsia="Arial" w:hAnsi="Arial"/>
          <w:b/>
          <w:bCs/>
          <w:sz w:val="20"/>
          <w:szCs w:val="20"/>
        </w:rPr>
        <w:t xml:space="preserve">Clause 6.1 – Pre-Existing Diseases (PED)</w:t>
      </w:r>
    </w:p>
    <w:p>
      <w:pPr>
        <w:spacing w:before="80" w:after="80"/>
      </w:pPr>
      <w:r>
        <w:rPr>
          <w:rFonts w:ascii="Arial" w:cs="Arial" w:eastAsia="Arial" w:hAnsi="Arial"/>
          <w:sz w:val="20"/>
          <w:szCs w:val="20"/>
        </w:rPr>
        <w:t xml:space="preserve">Since this is a Group Policy, the waiting period for Pre-Existing Diseases (PED) is WAIVED for all enrolled members. All pre-existing conditions are covered from Day 1 of the policy, provided the employee is a full-time active employee on the date of inception.</w:t>
      </w:r>
    </w:p>
    <w:p>
      <w:pPr>
        <w:spacing w:before="80" w:after="80"/>
      </w:pPr>
      <w:r>
        <w:rPr>
          <w:rFonts w:ascii="Arial" w:cs="Arial" w:eastAsia="Arial" w:hAnsi="Arial"/>
          <w:b/>
          <w:bCs/>
          <w:sz w:val="20"/>
          <w:szCs w:val="20"/>
        </w:rPr>
        <w:t xml:space="preserve">Clause 6.2 – Initial Waiting Period</w:t>
      </w:r>
    </w:p>
    <w:p>
      <w:pPr>
        <w:spacing w:before="80" w:after="80"/>
      </w:pPr>
      <w:r>
        <w:rPr>
          <w:rFonts w:ascii="Arial" w:cs="Arial" w:eastAsia="Arial" w:hAnsi="Arial"/>
          <w:sz w:val="20"/>
          <w:szCs w:val="20"/>
        </w:rPr>
        <w:t xml:space="preserve">There is NO initial waiting period under this group policy. Coverage commences from the date of policy inception or date of enrolment (for mid-term additions), whichever is later.</w:t>
      </w:r>
    </w:p>
    <w:p>
      <w:pPr>
        <w:spacing w:before="80" w:after="80"/>
      </w:pPr>
      <w:r>
        <w:rPr>
          <w:rFonts w:ascii="Arial" w:cs="Arial" w:eastAsia="Arial" w:hAnsi="Arial"/>
          <w:b/>
          <w:bCs/>
          <w:sz w:val="20"/>
          <w:szCs w:val="20"/>
        </w:rPr>
        <w:t xml:space="preserve">Clause 6.3 – Specific Disease Waiting Period</w:t>
      </w:r>
    </w:p>
    <w:p>
      <w:pPr>
        <w:spacing w:before="80" w:after="80"/>
      </w:pPr>
      <w:r>
        <w:rPr>
          <w:rFonts w:ascii="Arial" w:cs="Arial" w:eastAsia="Arial" w:hAnsi="Arial"/>
          <w:sz w:val="20"/>
          <w:szCs w:val="20"/>
        </w:rPr>
        <w:t xml:space="preserve">The following conditions carry a 30-day waiting period from the date of enrolment for mid-term additions only (not applicable to employees enrolled at inception):</w:t>
      </w:r>
    </w:p>
    <w:p>
      <w:pPr>
        <w:pStyle w:val="ListParagraph"/>
        <w:numPr>
          <w:ilvl w:val="0"/>
          <w:numId w:val="2"/>
        </w:numPr>
        <w:spacing w:before="60" w:after="60"/>
      </w:pPr>
      <w:r>
        <w:rPr>
          <w:rFonts w:ascii="Arial" w:cs="Arial" w:eastAsia="Arial" w:hAnsi="Arial"/>
          <w:sz w:val="20"/>
          <w:szCs w:val="20"/>
        </w:rPr>
        <w:t xml:space="preserve">Cataracts</w:t>
      </w:r>
    </w:p>
    <w:p>
      <w:pPr>
        <w:pStyle w:val="ListParagraph"/>
        <w:numPr>
          <w:ilvl w:val="0"/>
          <w:numId w:val="2"/>
        </w:numPr>
        <w:spacing w:before="60" w:after="60"/>
      </w:pPr>
      <w:r>
        <w:rPr>
          <w:rFonts w:ascii="Arial" w:cs="Arial" w:eastAsia="Arial" w:hAnsi="Arial"/>
          <w:sz w:val="20"/>
          <w:szCs w:val="20"/>
        </w:rPr>
        <w:t xml:space="preserve">Hernia (all types)</w:t>
      </w:r>
    </w:p>
    <w:p>
      <w:pPr>
        <w:pStyle w:val="ListParagraph"/>
        <w:numPr>
          <w:ilvl w:val="0"/>
          <w:numId w:val="2"/>
        </w:numPr>
        <w:spacing w:before="60" w:after="60"/>
      </w:pPr>
      <w:r>
        <w:rPr>
          <w:rFonts w:ascii="Arial" w:cs="Arial" w:eastAsia="Arial" w:hAnsi="Arial"/>
          <w:sz w:val="20"/>
          <w:szCs w:val="20"/>
        </w:rPr>
        <w:t xml:space="preserve">Hysterectomy</w:t>
      </w:r>
    </w:p>
    <w:p>
      <w:pPr>
        <w:pStyle w:val="ListParagraph"/>
        <w:numPr>
          <w:ilvl w:val="0"/>
          <w:numId w:val="2"/>
        </w:numPr>
        <w:spacing w:before="60" w:after="60"/>
      </w:pPr>
      <w:r>
        <w:rPr>
          <w:rFonts w:ascii="Arial" w:cs="Arial" w:eastAsia="Arial" w:hAnsi="Arial"/>
          <w:sz w:val="20"/>
          <w:szCs w:val="20"/>
        </w:rPr>
        <w:t xml:space="preserve">Joint Replacement (unless arising from accident)</w:t>
      </w:r>
    </w:p>
    <w:p>
      <w:pPr>
        <w:pStyle w:val="ListParagraph"/>
        <w:numPr>
          <w:ilvl w:val="0"/>
          <w:numId w:val="2"/>
        </w:numPr>
        <w:spacing w:before="60" w:after="60"/>
      </w:pPr>
      <w:r>
        <w:rPr>
          <w:rFonts w:ascii="Arial" w:cs="Arial" w:eastAsia="Arial" w:hAnsi="Arial"/>
          <w:sz w:val="20"/>
          <w:szCs w:val="20"/>
        </w:rPr>
        <w:t xml:space="preserve">Varicose Veins</w:t>
      </w:r>
    </w:p>
    <w:p>
      <w:pPr>
        <w:spacing w:before="80" w:after="80"/>
      </w:pPr>
      <w:r>
        <w:rPr>
          <w:rFonts w:ascii="Arial" w:cs="Arial" w:eastAsia="Arial" w:hAnsi="Arial"/>
          <w:sz w:val="20"/>
          <w:szCs w:val="20"/>
        </w:rPr>
        <w:t xml:space="preserve">For employees enrolled at policy inception, all specific disease waiting periods are waived.</w:t>
      </w:r>
    </w:p>
    <w:p>
      <w:pPr>
        <w:spacing w:before="80" w:after="80"/>
      </w:pPr>
      <w:r>
        <w:rPr>
          <w:rFonts w:ascii="Arial" w:cs="Arial" w:eastAsia="Arial" w:hAnsi="Arial"/>
          <w:b/>
          <w:bCs/>
          <w:sz w:val="20"/>
          <w:szCs w:val="20"/>
        </w:rPr>
        <w:t xml:space="preserve">Clause 6.4 – Maternity Waiting Period</w:t>
      </w:r>
    </w:p>
    <w:p>
      <w:pPr>
        <w:spacing w:before="80" w:after="80"/>
      </w:pPr>
      <w:r>
        <w:rPr>
          <w:rFonts w:ascii="Arial" w:cs="Arial" w:eastAsia="Arial" w:hAnsi="Arial"/>
          <w:sz w:val="20"/>
          <w:szCs w:val="20"/>
        </w:rPr>
        <w:t xml:space="preserve">Maternity benefits shall have NO waiting period under this group policy. Coverage is available from Day 1 of the policy year for all enrolled female employees and female spouses.</w:t>
      </w:r>
    </w:p>
    <w:p>
      <w:r>
        <w:t xml:space="preserve"/>
      </w:r>
    </w:p>
    <w:p>
      <w:pPr>
        <w:pStyle w:val="Heading1"/>
        <w:spacing w:before="300" w:after="150"/>
      </w:pPr>
      <w:r>
        <w:rPr>
          <w:rFonts w:ascii="Arial" w:cs="Arial" w:eastAsia="Arial" w:hAnsi="Arial"/>
          <w:b/>
          <w:bCs/>
          <w:color w:val="1F4E79"/>
          <w:sz w:val="28"/>
          <w:szCs w:val="28"/>
        </w:rPr>
        <w:t xml:space="preserve">SECTION 7: EXCLUSIONS</w:t>
      </w:r>
    </w:p>
    <w:p>
      <w:pPr>
        <w:spacing w:before="80" w:after="80"/>
      </w:pPr>
      <w:r>
        <w:rPr>
          <w:rFonts w:ascii="Arial" w:cs="Arial" w:eastAsia="Arial" w:hAnsi="Arial"/>
          <w:b/>
          <w:bCs/>
          <w:sz w:val="20"/>
          <w:szCs w:val="20"/>
        </w:rPr>
        <w:t xml:space="preserve">Clause 7.1 – Standard Exclusions</w:t>
      </w:r>
    </w:p>
    <w:p>
      <w:pPr>
        <w:spacing w:before="80" w:after="80"/>
      </w:pPr>
      <w:r>
        <w:rPr>
          <w:rFonts w:ascii="Arial" w:cs="Arial" w:eastAsia="Arial" w:hAnsi="Arial"/>
          <w:sz w:val="20"/>
          <w:szCs w:val="20"/>
        </w:rPr>
        <w:t xml:space="preserve">The following shall not be covered under this policy:</w:t>
      </w:r>
    </w:p>
    <w:p>
      <w:pPr>
        <w:pStyle w:val="ListParagraph"/>
        <w:numPr>
          <w:ilvl w:val="0"/>
          <w:numId w:val="2"/>
        </w:numPr>
        <w:spacing w:before="60" w:after="60"/>
      </w:pPr>
      <w:r>
        <w:rPr>
          <w:rFonts w:ascii="Arial" w:cs="Arial" w:eastAsia="Arial" w:hAnsi="Arial"/>
          <w:sz w:val="20"/>
          <w:szCs w:val="20"/>
        </w:rPr>
        <w:t xml:space="preserve">Cosmetic or aesthetic treatment of any description unless necessitated by an accident or disease</w:t>
      </w:r>
    </w:p>
    <w:p>
      <w:pPr>
        <w:pStyle w:val="ListParagraph"/>
        <w:numPr>
          <w:ilvl w:val="0"/>
          <w:numId w:val="2"/>
        </w:numPr>
        <w:spacing w:before="60" w:after="60"/>
      </w:pPr>
      <w:r>
        <w:rPr>
          <w:rFonts w:ascii="Arial" w:cs="Arial" w:eastAsia="Arial" w:hAnsi="Arial"/>
          <w:sz w:val="20"/>
          <w:szCs w:val="20"/>
        </w:rPr>
        <w:t xml:space="preserve">Weight management programmes including obesity treatment and bariatric surgery (unless life-threatening with BMI &gt; 40)</w:t>
      </w:r>
    </w:p>
    <w:p>
      <w:pPr>
        <w:pStyle w:val="ListParagraph"/>
        <w:numPr>
          <w:ilvl w:val="0"/>
          <w:numId w:val="2"/>
        </w:numPr>
        <w:spacing w:before="60" w:after="60"/>
      </w:pPr>
      <w:r>
        <w:rPr>
          <w:rFonts w:ascii="Arial" w:cs="Arial" w:eastAsia="Arial" w:hAnsi="Arial"/>
          <w:sz w:val="20"/>
          <w:szCs w:val="20"/>
        </w:rPr>
        <w:t xml:space="preserve">Infertility, sub-fertility, and assisted reproductive treatments (IVF, ICSI, IUI, etc.)</w:t>
      </w:r>
    </w:p>
    <w:p>
      <w:pPr>
        <w:pStyle w:val="ListParagraph"/>
        <w:numPr>
          <w:ilvl w:val="0"/>
          <w:numId w:val="2"/>
        </w:numPr>
        <w:spacing w:before="60" w:after="60"/>
      </w:pPr>
      <w:r>
        <w:rPr>
          <w:rFonts w:ascii="Arial" w:cs="Arial" w:eastAsia="Arial" w:hAnsi="Arial"/>
          <w:sz w:val="20"/>
          <w:szCs w:val="20"/>
        </w:rPr>
        <w:t xml:space="preserve">Treatment primarily for dental purposes unless arising from an accident causing bodily injury</w:t>
      </w:r>
    </w:p>
    <w:p>
      <w:pPr>
        <w:pStyle w:val="ListParagraph"/>
        <w:numPr>
          <w:ilvl w:val="0"/>
          <w:numId w:val="2"/>
        </w:numPr>
        <w:spacing w:before="60" w:after="60"/>
      </w:pPr>
      <w:r>
        <w:rPr>
          <w:rFonts w:ascii="Arial" w:cs="Arial" w:eastAsia="Arial" w:hAnsi="Arial"/>
          <w:sz w:val="20"/>
          <w:szCs w:val="20"/>
        </w:rPr>
        <w:t xml:space="preserve">Spectacles, contact lenses, and hearing aids</w:t>
      </w:r>
    </w:p>
    <w:p>
      <w:pPr>
        <w:pStyle w:val="ListParagraph"/>
        <w:numPr>
          <w:ilvl w:val="0"/>
          <w:numId w:val="2"/>
        </w:numPr>
        <w:spacing w:before="60" w:after="60"/>
      </w:pPr>
      <w:r>
        <w:rPr>
          <w:rFonts w:ascii="Arial" w:cs="Arial" w:eastAsia="Arial" w:hAnsi="Arial"/>
          <w:sz w:val="20"/>
          <w:szCs w:val="20"/>
        </w:rPr>
        <w:t xml:space="preserve">Experimental or investigational treatments not approved by a recognised medical body</w:t>
      </w:r>
    </w:p>
    <w:p>
      <w:pPr>
        <w:pStyle w:val="ListParagraph"/>
        <w:numPr>
          <w:ilvl w:val="0"/>
          <w:numId w:val="2"/>
        </w:numPr>
        <w:spacing w:before="60" w:after="60"/>
      </w:pPr>
      <w:r>
        <w:rPr>
          <w:rFonts w:ascii="Arial" w:cs="Arial" w:eastAsia="Arial" w:hAnsi="Arial"/>
          <w:sz w:val="20"/>
          <w:szCs w:val="20"/>
        </w:rPr>
        <w:t xml:space="preserve">Self-inflicted injuries and suicide attempts</w:t>
      </w:r>
    </w:p>
    <w:p>
      <w:pPr>
        <w:pStyle w:val="ListParagraph"/>
        <w:numPr>
          <w:ilvl w:val="0"/>
          <w:numId w:val="2"/>
        </w:numPr>
        <w:spacing w:before="60" w:after="60"/>
      </w:pPr>
      <w:r>
        <w:rPr>
          <w:rFonts w:ascii="Arial" w:cs="Arial" w:eastAsia="Arial" w:hAnsi="Arial"/>
          <w:sz w:val="20"/>
          <w:szCs w:val="20"/>
        </w:rPr>
        <w:t xml:space="preserve">Treatment received outside India unless specifically endorsed</w:t>
      </w:r>
    </w:p>
    <w:p>
      <w:pPr>
        <w:pStyle w:val="ListParagraph"/>
        <w:numPr>
          <w:ilvl w:val="0"/>
          <w:numId w:val="2"/>
        </w:numPr>
        <w:spacing w:before="60" w:after="60"/>
      </w:pPr>
      <w:r>
        <w:rPr>
          <w:rFonts w:ascii="Arial" w:cs="Arial" w:eastAsia="Arial" w:hAnsi="Arial"/>
          <w:sz w:val="20"/>
          <w:szCs w:val="20"/>
        </w:rPr>
        <w:t xml:space="preserve">War, invasion, acts of foreign enemy, hostilities</w:t>
      </w:r>
    </w:p>
    <w:p>
      <w:pPr>
        <w:pStyle w:val="ListParagraph"/>
        <w:numPr>
          <w:ilvl w:val="0"/>
          <w:numId w:val="2"/>
        </w:numPr>
        <w:spacing w:before="60" w:after="60"/>
      </w:pPr>
      <w:r>
        <w:rPr>
          <w:rFonts w:ascii="Arial" w:cs="Arial" w:eastAsia="Arial" w:hAnsi="Arial"/>
          <w:sz w:val="20"/>
          <w:szCs w:val="20"/>
        </w:rPr>
        <w:t xml:space="preserve">Nuclear, chemical, or biological contamination</w:t>
      </w:r>
    </w:p>
    <w:p>
      <w:pPr>
        <w:spacing w:before="80" w:after="80"/>
      </w:pPr>
      <w:r>
        <w:rPr>
          <w:rFonts w:ascii="Arial" w:cs="Arial" w:eastAsia="Arial" w:hAnsi="Arial"/>
          <w:b/>
          <w:bCs/>
          <w:sz w:val="20"/>
          <w:szCs w:val="20"/>
        </w:rPr>
        <w:t xml:space="preserve">Clause 7.2 – Alcohol and Substance Abuse</w:t>
      </w:r>
    </w:p>
    <w:p>
      <w:pPr>
        <w:spacing w:before="80" w:after="80"/>
      </w:pPr>
      <w:r>
        <w:rPr>
          <w:rFonts w:ascii="Arial" w:cs="Arial" w:eastAsia="Arial" w:hAnsi="Arial"/>
          <w:sz w:val="20"/>
          <w:szCs w:val="20"/>
        </w:rPr>
        <w:t xml:space="preserve">Treatment for alcoholism, drug dependency, or any condition directly attributable to substance abuse is excluded.</w:t>
      </w:r>
    </w:p>
    <w:p>
      <w:pPr>
        <w:spacing w:before="80" w:after="80"/>
      </w:pPr>
      <w:r>
        <w:rPr>
          <w:rFonts w:ascii="Arial" w:cs="Arial" w:eastAsia="Arial" w:hAnsi="Arial"/>
          <w:b/>
          <w:bCs/>
          <w:sz w:val="20"/>
          <w:szCs w:val="20"/>
        </w:rPr>
        <w:t xml:space="preserve">Clause 7.3 – Adventure and Hazardous Sports</w:t>
      </w:r>
    </w:p>
    <w:p>
      <w:pPr>
        <w:spacing w:before="80" w:after="80"/>
      </w:pPr>
      <w:r>
        <w:rPr>
          <w:rFonts w:ascii="Arial" w:cs="Arial" w:eastAsia="Arial" w:hAnsi="Arial"/>
          <w:sz w:val="20"/>
          <w:szCs w:val="20"/>
        </w:rPr>
        <w:t xml:space="preserve">Injuries sustained while participating in any adventure sport (skydiving, mountaineering, bungee jumping, motor racing, etc.) are excluded unless a specific rider has been purchased.</w:t>
      </w:r>
    </w:p>
    <w:p>
      <w:r>
        <w:t xml:space="preserve"/>
      </w:r>
    </w:p>
    <w:p>
      <w:pPr>
        <w:pStyle w:val="Heading1"/>
        <w:spacing w:before="300" w:after="150"/>
      </w:pPr>
      <w:r>
        <w:rPr>
          <w:rFonts w:ascii="Arial" w:cs="Arial" w:eastAsia="Arial" w:hAnsi="Arial"/>
          <w:b/>
          <w:bCs/>
          <w:color w:val="1F4E79"/>
          <w:sz w:val="28"/>
          <w:szCs w:val="28"/>
        </w:rPr>
        <w:t xml:space="preserve">SECTION 8: MATERNITY BENEFIT</w:t>
      </w:r>
    </w:p>
    <w:p>
      <w:pPr>
        <w:spacing w:before="80" w:after="80"/>
      </w:pPr>
      <w:r>
        <w:rPr>
          <w:rFonts w:ascii="Arial" w:cs="Arial" w:eastAsia="Arial" w:hAnsi="Arial"/>
          <w:b/>
          <w:bCs/>
          <w:sz w:val="20"/>
          <w:szCs w:val="20"/>
        </w:rPr>
        <w:t xml:space="preserve">Clause 8.1 – Maternity Coverage</w:t>
      </w:r>
    </w:p>
    <w:p>
      <w:pPr>
        <w:spacing w:before="80" w:after="80"/>
      </w:pPr>
      <w:r>
        <w:rPr>
          <w:rFonts w:ascii="Arial" w:cs="Arial" w:eastAsia="Arial" w:hAnsi="Arial"/>
          <w:sz w:val="20"/>
          <w:szCs w:val="20"/>
        </w:rPr>
        <w:t xml:space="preserve">Maternity benefit shall be included in the base plan. Coverage shall be available for up to 2 deliveries (including one caesarean section) per insured female member during the policy term. The maternity limit shall 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80"/>
        <w:gridCol w:w="4346"/>
      </w:tblGrid>
      <w:tr>
        <w:trPr>
          <w:tblHeader/>
        </w:trP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 of Delivery</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Coverage Limit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Normal Delivery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₹50,000</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Caesarean Section</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₹75,000</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 &amp; Post Natal Expenses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₹10,000 (lump sum)</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New-born Baby Cover</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From Day 1, up to SI of mother</w:t>
            </w:r>
          </w:p>
        </w:tc>
      </w:tr>
    </w:tbl>
    <w:p>
      <w:r>
        <w:t xml:space="preserve"/>
      </w:r>
    </w:p>
    <w:p>
      <w:pPr>
        <w:spacing w:before="80" w:after="80"/>
      </w:pPr>
      <w:r>
        <w:rPr>
          <w:rFonts w:ascii="Arial" w:cs="Arial" w:eastAsia="Arial" w:hAnsi="Arial"/>
          <w:b/>
          <w:bCs/>
          <w:sz w:val="20"/>
          <w:szCs w:val="20"/>
        </w:rPr>
        <w:t xml:space="preserve">Clause 8.2 – New-born Coverage</w:t>
      </w:r>
    </w:p>
    <w:p>
      <w:pPr>
        <w:spacing w:before="80" w:after="80"/>
      </w:pPr>
      <w:r>
        <w:rPr>
          <w:rFonts w:ascii="Arial" w:cs="Arial" w:eastAsia="Arial" w:hAnsi="Arial"/>
          <w:sz w:val="20"/>
          <w:szCs w:val="20"/>
        </w:rPr>
        <w:t xml:space="preserve">The new-born baby shall be automatically covered from birth for the remainder of the policy year under the mother's Sum Insured. Any congenital conditions diagnosed within 30 days of birth are covered up to the overall sum insured.</w:t>
      </w:r>
    </w:p>
    <w:p>
      <w:r>
        <w:t xml:space="preserve"/>
      </w:r>
    </w:p>
    <w:p>
      <w:pPr>
        <w:pStyle w:val="Heading1"/>
        <w:spacing w:before="300" w:after="150"/>
      </w:pPr>
      <w:r>
        <w:rPr>
          <w:rFonts w:ascii="Arial" w:cs="Arial" w:eastAsia="Arial" w:hAnsi="Arial"/>
          <w:b/>
          <w:bCs/>
          <w:color w:val="1F4E79"/>
          <w:sz w:val="28"/>
          <w:szCs w:val="28"/>
        </w:rPr>
        <w:t xml:space="preserve">SECTION 9: OPTIONAL ADD-ONS</w:t>
      </w:r>
    </w:p>
    <w:p>
      <w:pPr>
        <w:spacing w:before="80" w:after="80"/>
      </w:pPr>
      <w:r>
        <w:rPr>
          <w:rFonts w:ascii="Arial" w:cs="Arial" w:eastAsia="Arial" w:hAnsi="Arial"/>
          <w:b/>
          <w:bCs/>
          <w:sz w:val="20"/>
          <w:szCs w:val="20"/>
        </w:rPr>
        <w:t xml:space="preserve">Clause 9.1 – Critical Illness Rider</w:t>
      </w:r>
    </w:p>
    <w:p>
      <w:pPr>
        <w:spacing w:before="80" w:after="80"/>
      </w:pPr>
      <w:r>
        <w:rPr>
          <w:rFonts w:ascii="Arial" w:cs="Arial" w:eastAsia="Arial" w:hAnsi="Arial"/>
          <w:sz w:val="20"/>
          <w:szCs w:val="20"/>
        </w:rPr>
        <w:t xml:space="preserve">An optional Critical Illness (CI) lump-sum benefit rider covering 15 major critical illnesses (including cancer, heart attack, stroke, kidney failure, major organ transplant) may be offered at an additional premium. The CI benefit shall be a lump-sum payout of ₹5,00,000 per insured on first diagnosis, independent of the base mediclaim.</w:t>
      </w:r>
    </w:p>
    <w:p>
      <w:pPr>
        <w:spacing w:before="80" w:after="80"/>
      </w:pPr>
      <w:r>
        <w:rPr>
          <w:rFonts w:ascii="Arial" w:cs="Arial" w:eastAsia="Arial" w:hAnsi="Arial"/>
          <w:b/>
          <w:bCs/>
          <w:sz w:val="20"/>
          <w:szCs w:val="20"/>
        </w:rPr>
        <w:t xml:space="preserve">Clause 9.2 – Personal Accident Cover</w:t>
      </w:r>
    </w:p>
    <w:p>
      <w:pPr>
        <w:spacing w:before="80" w:after="80"/>
      </w:pPr>
      <w:r>
        <w:rPr>
          <w:rFonts w:ascii="Arial" w:cs="Arial" w:eastAsia="Arial" w:hAnsi="Arial"/>
          <w:sz w:val="20"/>
          <w:szCs w:val="20"/>
        </w:rPr>
        <w:t xml:space="preserve">An optional Personal Accident (PA) cover may be offered. The PA benefit shall cover:</w:t>
      </w:r>
    </w:p>
    <w:p>
      <w:pPr>
        <w:pStyle w:val="ListParagraph"/>
        <w:numPr>
          <w:ilvl w:val="0"/>
          <w:numId w:val="2"/>
        </w:numPr>
        <w:spacing w:before="60" w:after="60"/>
      </w:pPr>
      <w:r>
        <w:rPr>
          <w:rFonts w:ascii="Arial" w:cs="Arial" w:eastAsia="Arial" w:hAnsi="Arial"/>
          <w:sz w:val="20"/>
          <w:szCs w:val="20"/>
        </w:rPr>
        <w:t xml:space="preserve">Accidental Death: 100% of PA Sum Insured (₹10,00,000)</w:t>
      </w:r>
    </w:p>
    <w:p>
      <w:pPr>
        <w:pStyle w:val="ListParagraph"/>
        <w:numPr>
          <w:ilvl w:val="0"/>
          <w:numId w:val="2"/>
        </w:numPr>
        <w:spacing w:before="60" w:after="60"/>
      </w:pPr>
      <w:r>
        <w:rPr>
          <w:rFonts w:ascii="Arial" w:cs="Arial" w:eastAsia="Arial" w:hAnsi="Arial"/>
          <w:sz w:val="20"/>
          <w:szCs w:val="20"/>
        </w:rPr>
        <w:t xml:space="preserve">Permanent Total Disability: 100% of PA Sum Insured</w:t>
      </w:r>
    </w:p>
    <w:p>
      <w:pPr>
        <w:pStyle w:val="ListParagraph"/>
        <w:numPr>
          <w:ilvl w:val="0"/>
          <w:numId w:val="2"/>
        </w:numPr>
        <w:spacing w:before="60" w:after="60"/>
      </w:pPr>
      <w:r>
        <w:rPr>
          <w:rFonts w:ascii="Arial" w:cs="Arial" w:eastAsia="Arial" w:hAnsi="Arial"/>
          <w:sz w:val="20"/>
          <w:szCs w:val="20"/>
        </w:rPr>
        <w:t xml:space="preserve">Permanent Partial Disability: As per IRDAI schedule</w:t>
      </w:r>
    </w:p>
    <w:p>
      <w:pPr>
        <w:pStyle w:val="ListParagraph"/>
        <w:numPr>
          <w:ilvl w:val="0"/>
          <w:numId w:val="2"/>
        </w:numPr>
        <w:spacing w:before="60" w:after="60"/>
      </w:pPr>
      <w:r>
        <w:rPr>
          <w:rFonts w:ascii="Arial" w:cs="Arial" w:eastAsia="Arial" w:hAnsi="Arial"/>
          <w:sz w:val="20"/>
          <w:szCs w:val="20"/>
        </w:rPr>
        <w:t xml:space="preserve">Temporary Total Disability: 1% of PA SI per week up to 52 weeks</w:t>
      </w:r>
    </w:p>
    <w:p>
      <w:pPr>
        <w:spacing w:before="80" w:after="80"/>
      </w:pPr>
      <w:r>
        <w:rPr>
          <w:rFonts w:ascii="Arial" w:cs="Arial" w:eastAsia="Arial" w:hAnsi="Arial"/>
          <w:b/>
          <w:bCs/>
          <w:sz w:val="20"/>
          <w:szCs w:val="20"/>
        </w:rPr>
        <w:t xml:space="preserve">Clause 9.3 – Out-Patient Department (OPD) Cover</w:t>
      </w:r>
    </w:p>
    <w:p>
      <w:pPr>
        <w:spacing w:before="80" w:after="80"/>
      </w:pPr>
      <w:r>
        <w:rPr>
          <w:rFonts w:ascii="Arial" w:cs="Arial" w:eastAsia="Arial" w:hAnsi="Arial"/>
          <w:sz w:val="20"/>
          <w:szCs w:val="20"/>
        </w:rPr>
        <w:t xml:space="preserve">Optional OPD cover of ₹10,000 per employee per year may be included. OPD cover shall reimburse expenses for consultation, pharmacy, diagnostics, and physiotherapy on an outpatient basis without hospitalisation.</w:t>
      </w:r>
    </w:p>
    <w:p>
      <w:pPr>
        <w:spacing w:before="80" w:after="80"/>
      </w:pPr>
      <w:r>
        <w:rPr>
          <w:rFonts w:ascii="Arial" w:cs="Arial" w:eastAsia="Arial" w:hAnsi="Arial"/>
          <w:b/>
          <w:bCs/>
          <w:sz w:val="20"/>
          <w:szCs w:val="20"/>
        </w:rPr>
        <w:t xml:space="preserve">Clause 9.4 – Mental Health and Wellness</w:t>
      </w:r>
    </w:p>
    <w:p>
      <w:pPr>
        <w:spacing w:before="80" w:after="80"/>
      </w:pPr>
      <w:r>
        <w:rPr>
          <w:rFonts w:ascii="Arial" w:cs="Arial" w:eastAsia="Arial" w:hAnsi="Arial"/>
          <w:sz w:val="20"/>
          <w:szCs w:val="20"/>
        </w:rPr>
        <w:t xml:space="preserve">In compliance with the Mental Healthcare Act, 2017, mental health treatment including psychiatric hospitalisation shall be covered on par with physical ailments under the base SI. Optional tele-counselling and wellness sessions (minimum 6 sessions per year) may be offered as a value-added service.</w:t>
      </w:r>
    </w:p>
    <w:p>
      <w:r>
        <w:t xml:space="preserve"/>
      </w:r>
    </w:p>
    <w:p>
      <w:pPr>
        <w:pStyle w:val="Heading1"/>
        <w:spacing w:before="300" w:after="150"/>
      </w:pPr>
      <w:r>
        <w:rPr>
          <w:rFonts w:ascii="Arial" w:cs="Arial" w:eastAsia="Arial" w:hAnsi="Arial"/>
          <w:b/>
          <w:bCs/>
          <w:color w:val="1F4E79"/>
          <w:sz w:val="28"/>
          <w:szCs w:val="28"/>
        </w:rPr>
        <w:t xml:space="preserve">SECTION 10: CASHLESS &amp; CLAIM PROCEDURES</w:t>
      </w:r>
    </w:p>
    <w:p>
      <w:pPr>
        <w:spacing w:before="80" w:after="80"/>
      </w:pPr>
      <w:r>
        <w:rPr>
          <w:rFonts w:ascii="Arial" w:cs="Arial" w:eastAsia="Arial" w:hAnsi="Arial"/>
          <w:b/>
          <w:bCs/>
          <w:sz w:val="20"/>
          <w:szCs w:val="20"/>
        </w:rPr>
        <w:t xml:space="preserve">Clause 10.1 – Cashless Network</w:t>
      </w:r>
    </w:p>
    <w:p>
      <w:pPr>
        <w:spacing w:before="80" w:after="80"/>
      </w:pPr>
      <w:r>
        <w:rPr>
          <w:rFonts w:ascii="Arial" w:cs="Arial" w:eastAsia="Arial" w:hAnsi="Arial"/>
          <w:sz w:val="20"/>
          <w:szCs w:val="20"/>
        </w:rPr>
        <w:t xml:space="preserve">The insurer must provide a cashless facility at a minimum of 5,000 network hospitals across India, with at least 50 empanelled hospitals in Bengaluru, Hyderabad, Pune, and Chennai. A dedicated cashless desk or 24x7 helpline must be available.</w:t>
      </w:r>
    </w:p>
    <w:p>
      <w:pPr>
        <w:spacing w:before="80" w:after="80"/>
      </w:pPr>
      <w:r>
        <w:rPr>
          <w:rFonts w:ascii="Arial" w:cs="Arial" w:eastAsia="Arial" w:hAnsi="Arial"/>
          <w:b/>
          <w:bCs/>
          <w:sz w:val="20"/>
          <w:szCs w:val="20"/>
        </w:rPr>
        <w:t xml:space="preserve">Clause 10.2 – Cashless Authorisation Turnaround</w:t>
      </w:r>
    </w:p>
    <w:p>
      <w:pPr>
        <w:spacing w:before="80" w:after="80"/>
      </w:pPr>
      <w:r>
        <w:rPr>
          <w:rFonts w:ascii="Arial" w:cs="Arial" w:eastAsia="Arial" w:hAnsi="Arial"/>
          <w:sz w:val="20"/>
          <w:szCs w:val="20"/>
        </w:rPr>
        <w:t xml:space="preserve">Pre-authorisation for planned hospitalisations shall be processed within 2 hours of receipt of complete documents. Emergency cashless authorisation shall be provided within 30 minutes of intimation.</w:t>
      </w:r>
    </w:p>
    <w:p>
      <w:pPr>
        <w:spacing w:before="80" w:after="80"/>
      </w:pPr>
      <w:r>
        <w:rPr>
          <w:rFonts w:ascii="Arial" w:cs="Arial" w:eastAsia="Arial" w:hAnsi="Arial"/>
          <w:b/>
          <w:bCs/>
          <w:sz w:val="20"/>
          <w:szCs w:val="20"/>
        </w:rPr>
        <w:t xml:space="preserve">Clause 10.3 – Reimbursement Claims</w:t>
      </w:r>
    </w:p>
    <w:p>
      <w:pPr>
        <w:spacing w:before="80" w:after="80"/>
      </w:pPr>
      <w:r>
        <w:rPr>
          <w:rFonts w:ascii="Arial" w:cs="Arial" w:eastAsia="Arial" w:hAnsi="Arial"/>
          <w:sz w:val="20"/>
          <w:szCs w:val="20"/>
        </w:rPr>
        <w:t xml:space="preserve">Reimbursement claims shall be settled within 15 working days of receipt of complete claim documents. The insurer shall communicate deficiency notices within 7 working days of claim intimation.</w:t>
      </w:r>
    </w:p>
    <w:p>
      <w:pPr>
        <w:spacing w:before="80" w:after="80"/>
      </w:pPr>
      <w:r>
        <w:rPr>
          <w:rFonts w:ascii="Arial" w:cs="Arial" w:eastAsia="Arial" w:hAnsi="Arial"/>
          <w:b/>
          <w:bCs/>
          <w:sz w:val="20"/>
          <w:szCs w:val="20"/>
        </w:rPr>
        <w:t xml:space="preserve">Clause 10.4 – Dedicated Account Manager</w:t>
      </w:r>
    </w:p>
    <w:p>
      <w:pPr>
        <w:spacing w:before="80" w:after="80"/>
      </w:pPr>
      <w:r>
        <w:rPr>
          <w:rFonts w:ascii="Arial" w:cs="Arial" w:eastAsia="Arial" w:hAnsi="Arial"/>
          <w:sz w:val="20"/>
          <w:szCs w:val="20"/>
        </w:rPr>
        <w:t xml:space="preserve">The insurer shall assign a dedicated corporate account manager and a claims relationship manager for Veridia Tech Solutions. Monthly MIS reports shall be shared with the HR team.</w:t>
      </w:r>
    </w:p>
    <w:p>
      <w:r>
        <w:t xml:space="preserve"/>
      </w:r>
    </w:p>
    <w:p>
      <w:pPr>
        <w:pStyle w:val="Heading1"/>
        <w:spacing w:before="300" w:after="150"/>
      </w:pPr>
      <w:r>
        <w:rPr>
          <w:rFonts w:ascii="Arial" w:cs="Arial" w:eastAsia="Arial" w:hAnsi="Arial"/>
          <w:b/>
          <w:bCs/>
          <w:color w:val="1F4E79"/>
          <w:sz w:val="28"/>
          <w:szCs w:val="28"/>
        </w:rPr>
        <w:t xml:space="preserve">SECTION 11: PREMIUM TERMS &amp; CONDITIONS</w:t>
      </w:r>
    </w:p>
    <w:p>
      <w:pPr>
        <w:spacing w:before="80" w:after="80"/>
      </w:pPr>
      <w:r>
        <w:rPr>
          <w:rFonts w:ascii="Arial" w:cs="Arial" w:eastAsia="Arial" w:hAnsi="Arial"/>
          <w:b/>
          <w:bCs/>
          <w:sz w:val="20"/>
          <w:szCs w:val="20"/>
        </w:rPr>
        <w:t xml:space="preserve">Clause 11.1 – Premium Payment</w:t>
      </w:r>
    </w:p>
    <w:p>
      <w:pPr>
        <w:spacing w:before="80" w:after="80"/>
      </w:pPr>
      <w:r>
        <w:rPr>
          <w:rFonts w:ascii="Arial" w:cs="Arial" w:eastAsia="Arial" w:hAnsi="Arial"/>
          <w:sz w:val="20"/>
          <w:szCs w:val="20"/>
        </w:rPr>
        <w:t xml:space="preserve">Premium shall be paid annually in advance. The insurer may offer a quarterly payment option subject to a loading of not more than 2% on the annual premium. Premium shall be exclusive of GST, which shall be charged as per prevailing rates.</w:t>
      </w:r>
    </w:p>
    <w:p>
      <w:pPr>
        <w:spacing w:before="80" w:after="80"/>
      </w:pPr>
      <w:r>
        <w:rPr>
          <w:rFonts w:ascii="Arial" w:cs="Arial" w:eastAsia="Arial" w:hAnsi="Arial"/>
          <w:b/>
          <w:bCs/>
          <w:sz w:val="20"/>
          <w:szCs w:val="20"/>
        </w:rPr>
        <w:t xml:space="preserve">Clause 11.2 – Mid-Term Additions &amp; Deletions</w:t>
      </w:r>
    </w:p>
    <w:p>
      <w:pPr>
        <w:spacing w:before="80" w:after="80"/>
      </w:pPr>
      <w:r>
        <w:rPr>
          <w:rFonts w:ascii="Arial" w:cs="Arial" w:eastAsia="Arial" w:hAnsi="Arial"/>
          <w:sz w:val="20"/>
          <w:szCs w:val="20"/>
        </w:rPr>
        <w:t xml:space="preserve">Employees joining mid-year shall be added on a pro-rata basis from the date of joining. Employees leaving the organisation shall be deleted from the policy with premium refund on pro-rata basis for the unexpired period, subject to no claim having been made for the respective member.</w:t>
      </w:r>
    </w:p>
    <w:p>
      <w:pPr>
        <w:spacing w:before="80" w:after="80"/>
      </w:pPr>
      <w:r>
        <w:rPr>
          <w:rFonts w:ascii="Arial" w:cs="Arial" w:eastAsia="Arial" w:hAnsi="Arial"/>
          <w:b/>
          <w:bCs/>
          <w:sz w:val="20"/>
          <w:szCs w:val="20"/>
        </w:rPr>
        <w:t xml:space="preserve">Clause 11.3 – Experience Rating</w:t>
      </w:r>
    </w:p>
    <w:p>
      <w:pPr>
        <w:spacing w:before="80" w:after="80"/>
      </w:pPr>
      <w:r>
        <w:rPr>
          <w:rFonts w:ascii="Arial" w:cs="Arial" w:eastAsia="Arial" w:hAnsi="Arial"/>
          <w:sz w:val="20"/>
          <w:szCs w:val="20"/>
        </w:rPr>
        <w:t xml:space="preserve">The insurer shall provide an experience rating statement at renewal showing earned premium, incurred claims, and loss ratio. Renewal premium shall be subject to experience rating adjustments, provided the policy has been in force for at least 12 months.</w:t>
      </w:r>
    </w:p>
    <w:p>
      <w:r>
        <w:t xml:space="preserve"/>
      </w:r>
    </w:p>
    <w:p>
      <w:pPr>
        <w:pStyle w:val="Heading1"/>
        <w:spacing w:before="300" w:after="150"/>
      </w:pPr>
      <w:r>
        <w:rPr>
          <w:rFonts w:ascii="Arial" w:cs="Arial" w:eastAsia="Arial" w:hAnsi="Arial"/>
          <w:b/>
          <w:bCs/>
          <w:color w:val="1F4E79"/>
          <w:sz w:val="28"/>
          <w:szCs w:val="28"/>
        </w:rPr>
        <w:t xml:space="preserve">SECTION 12: SUBMISSION REQUIREMENTS</w:t>
      </w:r>
    </w:p>
    <w:p>
      <w:pPr>
        <w:spacing w:before="80" w:after="80"/>
      </w:pPr>
      <w:r>
        <w:rPr>
          <w:rFonts w:ascii="Arial" w:cs="Arial" w:eastAsia="Arial" w:hAnsi="Arial"/>
          <w:sz w:val="20"/>
          <w:szCs w:val="20"/>
        </w:rPr>
        <w:t xml:space="preserve">Bidders shall submit the following along with their quotation:</w:t>
      </w:r>
    </w:p>
    <w:p>
      <w:pPr>
        <w:pStyle w:val="ListParagraph"/>
        <w:numPr>
          <w:ilvl w:val="0"/>
          <w:numId w:val="2"/>
        </w:numPr>
        <w:spacing w:before="60" w:after="60"/>
      </w:pPr>
      <w:r>
        <w:rPr>
          <w:rFonts w:ascii="Arial" w:cs="Arial" w:eastAsia="Arial" w:hAnsi="Arial"/>
          <w:sz w:val="20"/>
          <w:szCs w:val="20"/>
        </w:rPr>
        <w:t xml:space="preserve">Duly filled Quotation Proforma (Annexure A)</w:t>
      </w:r>
    </w:p>
    <w:p>
      <w:pPr>
        <w:pStyle w:val="ListParagraph"/>
        <w:numPr>
          <w:ilvl w:val="0"/>
          <w:numId w:val="2"/>
        </w:numPr>
        <w:spacing w:before="60" w:after="60"/>
      </w:pPr>
      <w:r>
        <w:rPr>
          <w:rFonts w:ascii="Arial" w:cs="Arial" w:eastAsia="Arial" w:hAnsi="Arial"/>
          <w:sz w:val="20"/>
          <w:szCs w:val="20"/>
        </w:rPr>
        <w:t xml:space="preserve">Network hospital list for all four cities</w:t>
      </w:r>
    </w:p>
    <w:p>
      <w:pPr>
        <w:pStyle w:val="ListParagraph"/>
        <w:numPr>
          <w:ilvl w:val="0"/>
          <w:numId w:val="2"/>
        </w:numPr>
        <w:spacing w:before="60" w:after="60"/>
      </w:pPr>
      <w:r>
        <w:rPr>
          <w:rFonts w:ascii="Arial" w:cs="Arial" w:eastAsia="Arial" w:hAnsi="Arial"/>
          <w:sz w:val="20"/>
          <w:szCs w:val="20"/>
        </w:rPr>
        <w:t xml:space="preserve">Sample Policy Wordings and Certificate of Insurance</w:t>
      </w:r>
    </w:p>
    <w:p>
      <w:pPr>
        <w:pStyle w:val="ListParagraph"/>
        <w:numPr>
          <w:ilvl w:val="0"/>
          <w:numId w:val="2"/>
        </w:numPr>
        <w:spacing w:before="60" w:after="60"/>
      </w:pPr>
      <w:r>
        <w:rPr>
          <w:rFonts w:ascii="Arial" w:cs="Arial" w:eastAsia="Arial" w:hAnsi="Arial"/>
          <w:sz w:val="20"/>
          <w:szCs w:val="20"/>
        </w:rPr>
        <w:t xml:space="preserve">Claim settlement ratio for FY 2023-24 and FY 2024-25</w:t>
      </w:r>
    </w:p>
    <w:p>
      <w:pPr>
        <w:pStyle w:val="ListParagraph"/>
        <w:numPr>
          <w:ilvl w:val="0"/>
          <w:numId w:val="2"/>
        </w:numPr>
        <w:spacing w:before="60" w:after="60"/>
      </w:pPr>
      <w:r>
        <w:rPr>
          <w:rFonts w:ascii="Arial" w:cs="Arial" w:eastAsia="Arial" w:hAnsi="Arial"/>
          <w:sz w:val="20"/>
          <w:szCs w:val="20"/>
        </w:rPr>
        <w:t xml:space="preserve">IRDAI registration certificate (valid copy)</w:t>
      </w:r>
    </w:p>
    <w:p>
      <w:pPr>
        <w:pStyle w:val="ListParagraph"/>
        <w:numPr>
          <w:ilvl w:val="0"/>
          <w:numId w:val="2"/>
        </w:numPr>
        <w:spacing w:before="60" w:after="60"/>
      </w:pPr>
      <w:r>
        <w:rPr>
          <w:rFonts w:ascii="Arial" w:cs="Arial" w:eastAsia="Arial" w:hAnsi="Arial"/>
          <w:sz w:val="20"/>
          <w:szCs w:val="20"/>
        </w:rPr>
        <w:t xml:space="preserve">List of value-added services (health check-ups, wellness programmes, etc.)</w:t>
      </w:r>
    </w:p>
    <w:p>
      <w:pPr>
        <w:pStyle w:val="ListParagraph"/>
        <w:numPr>
          <w:ilvl w:val="0"/>
          <w:numId w:val="2"/>
        </w:numPr>
        <w:spacing w:before="60" w:after="60"/>
      </w:pPr>
      <w:r>
        <w:rPr>
          <w:rFonts w:ascii="Arial" w:cs="Arial" w:eastAsia="Arial" w:hAnsi="Arial"/>
          <w:sz w:val="20"/>
          <w:szCs w:val="20"/>
        </w:rPr>
        <w:t xml:space="preserve">Proposed TPA details (name, IRDAI TPA registration number)</w:t>
      </w:r>
    </w:p>
    <w:p>
      <w:pPr>
        <w:pStyle w:val="ListParagraph"/>
        <w:numPr>
          <w:ilvl w:val="0"/>
          <w:numId w:val="2"/>
        </w:numPr>
        <w:spacing w:before="60" w:after="60"/>
      </w:pPr>
      <w:r>
        <w:rPr>
          <w:rFonts w:ascii="Arial" w:cs="Arial" w:eastAsia="Arial" w:hAnsi="Arial"/>
          <w:sz w:val="20"/>
          <w:szCs w:val="20"/>
        </w:rPr>
        <w:t xml:space="preserve">Product liability and errors &amp; omissions insurance certificate</w:t>
      </w:r>
    </w:p>
    <w:p>
      <w:r>
        <w:t xml:space="preserve"/>
      </w:r>
    </w:p>
    <w:p>
      <w:pPr>
        <w:pStyle w:val="Heading1"/>
        <w:spacing w:before="300" w:after="150"/>
      </w:pPr>
      <w:r>
        <w:rPr>
          <w:rFonts w:ascii="Arial" w:cs="Arial" w:eastAsia="Arial" w:hAnsi="Arial"/>
          <w:b/>
          <w:bCs/>
          <w:color w:val="1F4E79"/>
          <w:sz w:val="28"/>
          <w:szCs w:val="28"/>
        </w:rPr>
        <w:t xml:space="preserve">SECTION 13: EVALUATION CRITERIA</w:t>
      </w:r>
    </w:p>
    <w:p>
      <w:pPr>
        <w:spacing w:before="80" w:after="80"/>
      </w:pPr>
      <w:r>
        <w:rPr>
          <w:rFonts w:ascii="Arial" w:cs="Arial" w:eastAsia="Arial" w:hAnsi="Arial"/>
          <w:sz w:val="20"/>
          <w:szCs w:val="20"/>
        </w:rPr>
        <w:t xml:space="preserve">Proposals shall be evaluated on the following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Evaluation Parameter</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Weightage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Premium Competitiveness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40%</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Coverage Breadth &amp; Benefits</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25%</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Network Strength (Hospital Count &amp; Quality)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20%</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Claims Service Quality &amp; TAT</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10%</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Technology / Portal / App Features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r>
    </w:tbl>
    <w:p>
      <w:r>
        <w:t xml:space="preserve"/>
      </w:r>
    </w:p>
    <w:p>
      <w:pPr>
        <w:pBdr>
          <w:bottom w:val="single" w:color="2E75B6" w:sz="4"/>
        </w:pBdr>
        <w:spacing w:before="120" w:after="120"/>
      </w:pPr>
    </w:p>
    <w:p>
      <w:pPr>
        <w:spacing w:before="200" w:after="80"/>
        <w:jc w:val="center"/>
      </w:pPr>
      <w:r>
        <w:rPr>
          <w:rFonts w:ascii="Arial" w:cs="Arial" w:eastAsia="Arial" w:hAnsi="Arial"/>
          <w:i/>
          <w:iCs/>
          <w:sz w:val="18"/>
          <w:szCs w:val="18"/>
        </w:rPr>
        <w:t xml:space="preserve">FOR QUERIES: insurance@verdia.in  |  +91-80-4567-8900</w:t>
      </w:r>
    </w:p>
    <w:p>
      <w:pPr>
        <w:jc w:val="center"/>
      </w:pPr>
      <w:r>
        <w:rPr>
          <w:rFonts w:ascii="Arial" w:cs="Arial" w:eastAsia="Arial" w:hAnsi="Arial"/>
          <w:i/>
          <w:iCs/>
          <w:color w:val="888888"/>
          <w:sz w:val="16"/>
          <w:szCs w:val="16"/>
        </w:rPr>
        <w:t xml:space="preserve">This document is confidential and intended solely for the invited insurers.</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2026-03-24T08:26:56.292Z</dcterms:created>
  <dcterms:modified xsi:type="dcterms:W3CDTF">2026-03-24T08:26:56.294Z</dcterms:modified>
</cp:coreProperties>
</file>

<file path=docProps/custom.xml><?xml version="1.0" encoding="utf-8"?>
<Properties xmlns="http://schemas.openxmlformats.org/officeDocument/2006/custom-properties" xmlns:vt="http://schemas.openxmlformats.org/officeDocument/2006/docPropsVTypes"/>
</file>