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237e"/>
          <w:sz w:val="30"/>
          <w:szCs w:val="30"/>
          <w:rtl w:val="0"/>
        </w:rPr>
        <w:t xml:space="preserve">RELIANCE GENERAL INSURANCE CO. LTD.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sz w:val="18"/>
          <w:szCs w:val="18"/>
          <w:rtl w:val="0"/>
        </w:rPr>
        <w:t xml:space="preserve">Registered Office: H Block, 1st Floor, Dhirubhai Ambani Knowledge City, Navi Mumbai – 400 710</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sz w:val="18"/>
          <w:szCs w:val="18"/>
          <w:rtl w:val="0"/>
        </w:rPr>
        <w:t xml:space="preserve">IRDAI Reg. No. 132  |  CIN: U66603MH2000PLC128300</w:t>
      </w:r>
      <w:r w:rsidDel="00000000" w:rsidR="00000000" w:rsidRPr="00000000">
        <w:rPr>
          <w:rtl w:val="0"/>
        </w:rPr>
      </w:r>
    </w:p>
    <w:p w:rsidR="00000000" w:rsidDel="00000000" w:rsidP="00000000" w:rsidRDefault="00000000" w:rsidRPr="00000000" w14:paraId="00000004">
      <w:pPr>
        <w:pBdr>
          <w:bottom w:color="2e75b6" w:space="0"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Arial" w:cs="Arial" w:eastAsia="Arial" w:hAnsi="Arial"/>
          <w:b w:val="1"/>
          <w:bCs w:val="1"/>
          <w:color w:val="1a237e"/>
          <w:sz w:val="28"/>
          <w:szCs w:val="28"/>
          <w:rtl w:val="0"/>
        </w:rPr>
        <w:t xml:space="preserve">GROUP HEALTH GUARD POLICY</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b w:val="1"/>
          <w:bCs w:val="1"/>
          <w:sz w:val="22"/>
          <w:szCs w:val="22"/>
          <w:rtl w:val="0"/>
        </w:rPr>
        <w:t xml:space="preserve">POLICY DOCUMENT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8"/>
                <w:szCs w:val="18"/>
                <w:rtl w:val="0"/>
              </w:rPr>
              <w:t xml:space="preserve">Policy Schedule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Policy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RGI-GHG-2025-BLR-004471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Policyholder / Master Policyholder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Veridia Tech Solutions Pvt. Ltd.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18"/>
                <w:szCs w:val="18"/>
                <w:rtl w:val="0"/>
              </w:rPr>
              <w:t xml:space="preserve">No. 14, Outer Ring Road, Bengaluru – 560 103, Karnataka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Policy Period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01 June 2025 to 31 May 2026 (both days inclusive)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Date of Issue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28 May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Total Premium (incl. GST @ 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₹2,36,57,820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Insured Lives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Approx. 4,200 (employees + dependants)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TPA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Medi Assist India TPA Pvt. Ltd.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18"/>
                <w:szCs w:val="18"/>
                <w:rtl w:val="0"/>
              </w:rPr>
              <w:t xml:space="preserve">Policy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Floater – Group Mediclaim</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1: DEFINITIONS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0"/>
          <w:szCs w:val="20"/>
          <w:rtl w:val="0"/>
        </w:rPr>
        <w:t xml:space="preserve">1.1 Insured Person: Any employee of the Master Policyholder enrolled under this policy and any eligible dependant added to the policy certificate, whose premium has been received by the Company.</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0"/>
          <w:szCs w:val="20"/>
          <w:rtl w:val="0"/>
        </w:rPr>
        <w:t xml:space="preserve">1.2 Sum Insured (SI): The maximum amount payable by the Company for all claims in aggregate for all Insured Persons under a family unit during the Policy Year.</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0"/>
          <w:szCs w:val="20"/>
          <w:rtl w:val="0"/>
        </w:rPr>
        <w:t xml:space="preserve">1.3 Floater Basis: A single pool of sum insured shared among all Insured Persons within a family unit. Multiple members may claim from the same pool, provided aggregate claims do not exceed the SI.</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0"/>
          <w:szCs w:val="20"/>
          <w:rtl w:val="0"/>
        </w:rPr>
        <w:t xml:space="preserve">1.4 Pre-Existing Disease (PED): Any condition, ailment, injury, or related condition for which the Insured Person had signs, symptoms, or was diagnosed or received medical advice/treatment within 48 months prior to the first policy inception.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0"/>
          <w:szCs w:val="20"/>
          <w:rtl w:val="0"/>
        </w:rPr>
        <w:t xml:space="preserve">1.5 Network Hospital: A hospital or health care provider empanelled by the Company or its TPA for the purpose of providing cashless treatment to the Insured Person. The current network list is available on the Company website and the TPA portal.</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0"/>
          <w:szCs w:val="20"/>
          <w:rtl w:val="0"/>
        </w:rPr>
        <w:t xml:space="preserve">1.6 Hospitalisation: Admission to a Network or non-network Hospital for a minimum period of 24 consecutive hours for the purpose of availing inpatient care.</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0"/>
          <w:szCs w:val="20"/>
          <w:rtl w:val="0"/>
        </w:rPr>
        <w:t xml:space="preserve">1.7 Day Care Procedure: A surgical or medical procedure that requires less than 24 hours of hospitalisation due to technological advancements and is included in the IRDAI-approved Day Care Procedure List.</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0"/>
          <w:szCs w:val="20"/>
          <w:rtl w:val="0"/>
        </w:rPr>
        <w:t xml:space="preserve">1.8 TPA (Third Party Administrator): Medi Assist India TPA Pvt. Ltd. engaged by the Company to provide administrative services including cashless authorisation and claims processing.</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2: COVERAGE</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0"/>
          <w:szCs w:val="20"/>
          <w:rtl w:val="0"/>
        </w:rPr>
        <w:t xml:space="preserve">2.1 In-Patient Hospitalisation: The Company shall indemnify the Insured Person for expenses incurred during hospitalisation for illness or injury including room and boarding charges, nursing expenses, surgeon and anaesthetist fees, diagnostic tests, medicines, and consumables as per the approved schedule.</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0"/>
          <w:szCs w:val="20"/>
          <w:rtl w:val="0"/>
        </w:rPr>
        <w:t xml:space="preserve">2.2 Pre-Hospitalisation: Medical expenses incurred within 30 days prior to the date of admission to hospital are covered, provided they relate to the illness for which hospitalisation was undertaken.</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0"/>
          <w:szCs w:val="20"/>
          <w:rtl w:val="0"/>
        </w:rPr>
        <w:t xml:space="preserve">2.3 Post-Hospitalisation: Medical expenses incurred within 60 days after discharge from hospital are covered, provided they relate to the illness for which hospitalisation was undertaken.</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0"/>
          <w:szCs w:val="20"/>
          <w:rtl w:val="0"/>
        </w:rPr>
        <w:t xml:space="preserve">2.4 Room Rent: Room rent is covered up to 1% of the Sum Insured per day (i.e., ₹5,000 per day for a ₹5,00,000 SI). If the Insured Person opts for a room category above the entitled limit, all associated charges shall be subject to proportionate deduction on the same ratio as the difference between eligible and actual room rent.</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0"/>
          <w:szCs w:val="20"/>
          <w:rtl w:val="0"/>
        </w:rPr>
        <w:t xml:space="preserve">2.5 ICU/ICCU: ICU charges are covered up to 2% of the Sum Insured per day (i.e., ₹10,000 per day for a ₹5,00,000 SI).</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0"/>
          <w:szCs w:val="20"/>
          <w:rtl w:val="0"/>
        </w:rPr>
        <w:t xml:space="preserve">2.6 Day Care Procedures: All procedures listed in the IRDAI Day Care Procedure List (Circular No. IRDAI/HLT/REG/CIR/068/03/2020 and subsequent amendments) are covered under this policy without the minimum 24-hour hospitalisation requirement.</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0"/>
          <w:szCs w:val="20"/>
          <w:rtl w:val="0"/>
        </w:rPr>
        <w:t xml:space="preserve">2.7 Domiciliary Hospitalisation: Treatment taken at home where hospitalisation is medically necessary but not possible (due to non-availability of beds or medical advice), is covered up to 10% of the Sum Insured (maximum ₹50,000 for ₹5,00,000 SI) provided the treating physician certifies the same in writing.</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0"/>
          <w:szCs w:val="20"/>
          <w:rtl w:val="0"/>
        </w:rPr>
        <w:t xml:space="preserve">2.8 Ambulance Charges: Emergency ambulance charges are payable up to ₹2,000 per hospitalisation event on actuals.</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0"/>
          <w:szCs w:val="20"/>
          <w:rtl w:val="0"/>
        </w:rPr>
        <w:t xml:space="preserve">2.9 Organ Donor Expenses: Medical and surgical expenses incurred by the organ donor for the harvesting procedure are payable up to ₹1,00,000, subject to the recipient being an Insured Person under this policy.</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0"/>
          <w:szCs w:val="20"/>
          <w:rtl w:val="0"/>
        </w:rPr>
        <w:t xml:space="preserve">2.10 Maternity Benefit: Normal delivery is covered up to ₹50,000; Caesarean delivery up to ₹75,000. Pre and post natal expenses are covered up to ₹10,000 as a lump-sum. Coverage available for up to 2 deliveries per insured female member during the policy term. No waiting period for maternity under this group policy.</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0"/>
          <w:szCs w:val="20"/>
          <w:rtl w:val="0"/>
        </w:rPr>
        <w:t xml:space="preserve">2.11 New-Born Baby Cover: The new-born baby is automatically covered from the date of birth for the unexpired policy term under the mother's family floater Sum Insured. Congenital diseases of the new-born diagnosed within 30 days of birth are covered up to the SI.</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0"/>
          <w:szCs w:val="20"/>
          <w:rtl w:val="0"/>
        </w:rPr>
        <w:t xml:space="preserve">2.12 Mental Health: Psychiatric and mental health conditions requiring hospitalisation are covered on par with physical ailments in compliance with the Mental Healthcare Act, 2017.</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3: CO-PAY PROVISIONS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0"/>
          <w:szCs w:val="20"/>
          <w:rtl w:val="0"/>
        </w:rPr>
        <w:t xml:space="preserve">3.1 In-Network Claims: No co-pay is applicable for claims arising from hospitalisation at Network Hospitals. The Company shall bear 100% of all admissible expenses within the policy limits.</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sz w:val="20"/>
          <w:szCs w:val="20"/>
          <w:rtl w:val="0"/>
        </w:rPr>
        <w:t xml:space="preserve">3.2 Out-of-Network Claims: For claims from non-network hospitals processed on reimbursement basis, a co-pay of 20% of the total admissible claim amount shall be borne by the Insured Person. The remaining 80% shall be payable by the Company.</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0"/>
          <w:szCs w:val="20"/>
          <w:rtl w:val="0"/>
        </w:rPr>
        <w:t xml:space="preserve">3.3 Parental Cover: All claims under the Parental Cover (whether in-network or out-of-network) are subject to a co-pay of 20% of the admissible claim amount.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4: WAITING PERIODS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0"/>
          <w:szCs w:val="20"/>
          <w:rtl w:val="0"/>
        </w:rPr>
        <w:t xml:space="preserve">4.1 Pre-Existing Diseases: Since this is a group policy with mandatory enrolment, the PED waiting period is waived for all members enrolled at policy inception. PED is covered from Day 1.</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0"/>
          <w:szCs w:val="20"/>
          <w:rtl w:val="0"/>
        </w:rPr>
        <w:t xml:space="preserve">4.2 Initial Waiting Period: There is no initial waiting period under this policy.</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0"/>
          <w:szCs w:val="20"/>
          <w:rtl w:val="0"/>
        </w:rPr>
        <w:t xml:space="preserve">4.3 Specific Diseases – Mid-Term Joiners Only: The following conditions carry a 30-day waiting period for employees enrolled mid-term (not applicable to inception-enrolled members): Cataracts, Hernia, Hysterectomy, Joint Replacement (non-accidental), Varicose Veins.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sz w:val="20"/>
          <w:szCs w:val="20"/>
          <w:rtl w:val="0"/>
        </w:rPr>
        <w:t xml:space="preserve">4.4 Maternity: No waiting period. Coverage from Day 1 of policy.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5: EXCLUSIONS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0"/>
          <w:szCs w:val="20"/>
          <w:rtl w:val="0"/>
        </w:rPr>
        <w:t xml:space="preserve">The following are not covered under this policy: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Cosmetic, plastic, or aesthetic surgery / treatment unless arising from accident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Obesity / weight management treatment (unless BMI &gt; 40 with life-threatening complications)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Infertility treatment (IVF, IUI, ICSI, and related procedures)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Dental treatment not arising from accident / injury requiring hospitalisation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Spectacles, contact lenses, hearing aids, and external prosthetic devices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Self-inflicted injury, attempted suicide, or suicide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 invasion, act of foreign enemy, revolution, civil war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Nuclear, biological, or chemical contamination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Alcoholism, drug addiction, or substance abuse treatment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Experimental, unproven, or investigational treatments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Adventure and hazardous sports (unless specific rider purchased)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Treatment received outside India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Refractive error correction (LASIK, LASEK, etc.) unless medically necessary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6: CLAIMS PROCEDURE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0"/>
          <w:szCs w:val="20"/>
          <w:rtl w:val="0"/>
        </w:rPr>
        <w:t xml:space="preserve">6.1 Cashless Claims (Network Hospitals): The Insured Person shall inform the TPA at least 48 hours prior to planned hospitalisation (immediately in case of emergency). The hospital shall submit the pre-authorisation request to Medi Assist. Authorisation for planned hospitalisation shall be issued within 2 hours. Emergency authorisation shall be issued within 30 minutes. The TPA operates a 24x7 helpline: 1800-425-9449.</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0"/>
          <w:szCs w:val="20"/>
          <w:rtl w:val="0"/>
        </w:rPr>
        <w:t xml:space="preserve">6.2 Reimbursement Claims: Claims for treatment at non-network hospitals shall be submitted within 30 days of discharge. The Insured Person shall submit: discharge summary, all bills and receipts (originals), prescriptions, investigation reports, claim form (duly signed), and identity proof. The Company shall settle the claim within 15 working days from receipt of complete documentation.</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0"/>
          <w:szCs w:val="20"/>
          <w:rtl w:val="0"/>
        </w:rPr>
        <w:t xml:space="preserve">6.3 Deficiency Notice: If claim documents are incomplete, the Company / TPA shall issue a deficiency notice within 7 working days of receiving the claim. The claimant must respond within 30 days of the notice.</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0"/>
          <w:szCs w:val="20"/>
          <w:rtl w:val="0"/>
        </w:rPr>
        <w:t xml:space="preserve">6.4 Claim Disputes: Any dispute regarding claim settlement may be escalated to the Company's Grievance Redressal Officer (GRO). If unresolved within 15 days, the Insured may approach the IRDAI Integrated Grievance Management System (IGMS) or the Insurance Ombudsman.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150" w:before="300" w:lineRule="auto"/>
        <w:rPr/>
      </w:pPr>
      <w:r w:rsidDel="00000000" w:rsidR="00000000" w:rsidRPr="00000000">
        <w:rPr>
          <w:rFonts w:ascii="Arial" w:cs="Arial" w:eastAsia="Arial" w:hAnsi="Arial"/>
          <w:b w:val="1"/>
          <w:bCs w:val="1"/>
          <w:color w:val="1f4e79"/>
          <w:sz w:val="28"/>
          <w:szCs w:val="28"/>
          <w:rtl w:val="0"/>
        </w:rPr>
        <w:t xml:space="preserve">CHAPTER 7: GENERAL CONDITIONS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0"/>
          <w:szCs w:val="20"/>
          <w:rtl w:val="0"/>
        </w:rPr>
        <w:t xml:space="preserve">7.1 Free Look Period: The Master Policyholder may cancel this policy within 15 days of receipt (free look period) if not satisfied with the terms. The Company shall refund the premium after deducting expenses for the period on cover and any claims paid.</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0"/>
          <w:szCs w:val="20"/>
          <w:rtl w:val="0"/>
        </w:rPr>
        <w:t xml:space="preserve">7.2 Cancellation by Insured: The Master Policyholder may cancel the policy at any time by giving 30 days written notice. Premium refund shall be on short-period scale, subject to no claims outstanding.</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0"/>
          <w:szCs w:val="20"/>
          <w:rtl w:val="0"/>
        </w:rPr>
        <w:t xml:space="preserve">7.3 Cancellation by Insurer: The Company may cancel the policy by giving 30 days written notice for misrepresentation, fraud, or non-disclosure of material facts.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0"/>
          <w:szCs w:val="20"/>
          <w:rtl w:val="0"/>
        </w:rPr>
        <w:t xml:space="preserve">7.4 Subrogation: If a claim is paid in respect of an event for which a third party is liable, the Company shall be subrogated to all rights and remedies of the Insured Person against such third party.</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0"/>
          <w:szCs w:val="20"/>
          <w:rtl w:val="0"/>
        </w:rPr>
        <w:t xml:space="preserve">7.5 Governing Law: This policy shall be governed by the laws of India. All disputes shall be subject to the jurisdiction of courts in Mumbai, Maharashtra.</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0"/>
          <w:szCs w:val="20"/>
          <w:rtl w:val="0"/>
        </w:rPr>
        <w:t xml:space="preserve">7.6 Fraud and Misrepresentation: Any fraudulent claim or wilful misrepresentation by the Insured shall render the policy voidable and all claims thereunder forfeit.</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bottom w:color="2e75b6" w:space="0" w:sz="4" w:val="single"/>
        </w:pBdr>
        <w:spacing w:after="120" w:before="12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0"/>
          <w:szCs w:val="20"/>
          <w:rtl w:val="0"/>
        </w:rPr>
        <w:t xml:space="preserve">This policy is issued subject to receipt of full premium and subject to the terms, conditions, and exclusions set out in this document and any endorsements attached hereto.</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1"/>
          <w:bCs w:val="1"/>
          <w:sz w:val="20"/>
          <w:szCs w:val="20"/>
          <w:rtl w:val="0"/>
        </w:rPr>
        <w:t xml:space="preserve">Authorised Signatory: Kavya Srinivasan | Senior Vice President – Underwriting | Reliance General Insurance Co. Ltd.</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0"/>
          <w:szCs w:val="20"/>
          <w:rtl w:val="0"/>
        </w:rPr>
        <w:t xml:space="preserve">Place: Bengaluru  |  Date: 28 May 2025</w:t>
      </w: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12N27N0ljPZCQPRwa7wtHsU3cQ==">CgMxLjA4AHIhMTh4YnBpaFRBb08yUHNaSkxUNWFPMXFoM3lxZmgxaVJM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2026-03-24T08:26:56.824Z</dcterms:created>
  <dc:creator>Un-named</dc:creator>
</cp:coreProperties>
</file>

<file path=docProps/custom.xml><?xml version="1.0" encoding="utf-8"?>
<Properties xmlns="http://schemas.openxmlformats.org/officeDocument/2006/custom-properties" xmlns:vt="http://schemas.openxmlformats.org/officeDocument/2006/docPropsVTypes"/>
</file>