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8B0000"/>
          <w:sz w:val="30"/>
          <w:szCs w:val="30"/>
        </w:rPr>
        <w:t xml:space="preserve">STAR HEALTH AND ALLIED INSURANCE CO. LTD.</w:t>
      </w:r>
    </w:p>
    <w:p>
      <w:pPr>
        <w:jc w:val="center"/>
      </w:pPr>
      <w:r>
        <w:rPr>
          <w:rFonts w:ascii="Arial" w:cs="Arial" w:eastAsia="Arial" w:hAnsi="Arial"/>
          <w:sz w:val="18"/>
          <w:szCs w:val="18"/>
        </w:rPr>
        <w:t xml:space="preserve">Registered Office: No. 1, New Tank Street, Valluvarkottam High Road, Nungambakkam, Chennai – 600 034</w:t>
      </w:r>
    </w:p>
    <w:p>
      <w:pPr>
        <w:jc w:val="center"/>
      </w:pPr>
      <w:r>
        <w:rPr>
          <w:rFonts w:ascii="Arial" w:cs="Arial" w:eastAsia="Arial" w:hAnsi="Arial"/>
          <w:sz w:val="18"/>
          <w:szCs w:val="18"/>
        </w:rPr>
        <w:t xml:space="preserve">IRDAI Reg. No. 129  |  CIN: U66010TN2005PLC056649</w:t>
      </w:r>
    </w:p>
    <w:p>
      <w:pPr>
        <w:pBdr>
          <w:bottom w:val="single" w:color="2E75B6" w:sz="4"/>
        </w:pBdr>
        <w:spacing w:before="120" w:after="120"/>
      </w:pPr>
    </w:p>
    <w:p>
      <w:pPr>
        <w:spacing w:before="120" w:after="120"/>
        <w:jc w:val="center"/>
      </w:pPr>
      <w:r>
        <w:rPr>
          <w:rFonts w:ascii="Arial" w:cs="Arial" w:eastAsia="Arial" w:hAnsi="Arial"/>
          <w:b/>
          <w:bCs/>
          <w:color w:val="8B0000"/>
          <w:sz w:val="28"/>
          <w:szCs w:val="28"/>
        </w:rPr>
        <w:t xml:space="preserve">STAR GROUP HEALTH INSURANCE POLICY</w:t>
      </w:r>
    </w:p>
    <w:p>
      <w:pPr>
        <w:spacing w:before="0" w:after="200"/>
        <w:jc w:val="center"/>
      </w:pPr>
      <w:r>
        <w:rPr>
          <w:rFonts w:ascii="Arial" w:cs="Arial" w:eastAsia="Arial" w:hAnsi="Arial"/>
          <w:b/>
          <w:bCs/>
          <w:sz w:val="22"/>
          <w:szCs w:val="22"/>
        </w:rPr>
        <w:t xml:space="preserve">POLICY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Policy Schedule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Policy Number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SHAIC-CORP-GHI-2025-BLR-01182</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Policyholder / Master Policyholder</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Veridia Tech Solutions Pvt. Ltd.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14, Outer Ring Road, Bengaluru – 560 103, Karnataka</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Policy Period</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01 June 2025 to 31 May 2026 (both days inclusive)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Date of Issue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28 May 2025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Total Premium (incl. GST @ 18%)</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₹2,21,27,360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Insured Lives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Approx. 4,200 (employees + dependants)</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TPA</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8"/>
                <w:szCs w:val="18"/>
              </w:rPr>
              <w:t xml:space="preserve">Star Health Claims Division (In-house)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Policy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Floater – Group Health Insurance</w:t>
            </w:r>
          </w:p>
        </w:tc>
      </w:tr>
    </w:tbl>
    <w:p>
      <w:r>
        <w:t xml:space="preserve"/>
      </w:r>
    </w:p>
    <w:p>
      <w:pPr>
        <w:pStyle w:val="Heading1"/>
        <w:spacing w:before="300" w:after="150"/>
      </w:pPr>
      <w:r>
        <w:rPr>
          <w:rFonts w:ascii="Arial" w:cs="Arial" w:eastAsia="Arial" w:hAnsi="Arial"/>
          <w:b/>
          <w:bCs/>
          <w:color w:val="1F4E79"/>
          <w:sz w:val="28"/>
          <w:szCs w:val="28"/>
        </w:rPr>
        <w:t xml:space="preserve">CHAPTER 1: DEFINITIONS</w:t>
      </w:r>
    </w:p>
    <w:p>
      <w:pPr>
        <w:spacing w:before="80" w:after="80"/>
      </w:pPr>
      <w:r>
        <w:rPr>
          <w:rFonts w:ascii="Arial" w:cs="Arial" w:eastAsia="Arial" w:hAnsi="Arial"/>
          <w:sz w:val="20"/>
          <w:szCs w:val="20"/>
        </w:rPr>
        <w:t xml:space="preserve">1.1 Insured Person: Any employee of the Master Policyholder who has been enrolled and whose details appear on the policy certificate issued by the Company, and eligible dependants as defined herein.</w:t>
      </w:r>
    </w:p>
    <w:p>
      <w:pPr>
        <w:spacing w:before="80" w:after="80"/>
      </w:pPr>
      <w:r>
        <w:rPr>
          <w:rFonts w:ascii="Arial" w:cs="Arial" w:eastAsia="Arial" w:hAnsi="Arial"/>
          <w:sz w:val="20"/>
          <w:szCs w:val="20"/>
        </w:rPr>
        <w:t xml:space="preserve">1.2 Sum Insured (SI): The maximum liability of the Company in respect of all claims under a family unit during the Policy Year on a floater basis.</w:t>
      </w:r>
    </w:p>
    <w:p>
      <w:pPr>
        <w:spacing w:before="80" w:after="80"/>
      </w:pPr>
      <w:r>
        <w:rPr>
          <w:rFonts w:ascii="Arial" w:cs="Arial" w:eastAsia="Arial" w:hAnsi="Arial"/>
          <w:sz w:val="20"/>
          <w:szCs w:val="20"/>
        </w:rPr>
        <w:t xml:space="preserve">1.3 Floater: The SI is shared across all members of the insured family. Multiple claims may be made but aggregate cannot exceed SI.</w:t>
      </w:r>
    </w:p>
    <w:p>
      <w:pPr>
        <w:spacing w:before="80" w:after="80"/>
      </w:pPr>
      <w:r>
        <w:rPr>
          <w:rFonts w:ascii="Arial" w:cs="Arial" w:eastAsia="Arial" w:hAnsi="Arial"/>
          <w:sz w:val="20"/>
          <w:szCs w:val="20"/>
        </w:rPr>
        <w:t xml:space="preserve">1.4 Pre-Existing Disease (PED): Any condition, ailment, or injury that the Insured Person was diagnosed with, exhibited symptoms of, or received treatment for within 48 months prior to the commencement of the first policy year.</w:t>
      </w:r>
    </w:p>
    <w:p>
      <w:pPr>
        <w:spacing w:before="80" w:after="80"/>
      </w:pPr>
      <w:r>
        <w:rPr>
          <w:rFonts w:ascii="Arial" w:cs="Arial" w:eastAsia="Arial" w:hAnsi="Arial"/>
          <w:sz w:val="20"/>
          <w:szCs w:val="20"/>
        </w:rPr>
        <w:t xml:space="preserve">1.5 Network Hospital: A hospital with whom the Company has entered into an agreement for cashless treatment. Network list is subject to change and is available on www.starhealth.in.</w:t>
      </w:r>
    </w:p>
    <w:p>
      <w:pPr>
        <w:spacing w:before="80" w:after="80"/>
      </w:pPr>
      <w:r>
        <w:rPr>
          <w:rFonts w:ascii="Arial" w:cs="Arial" w:eastAsia="Arial" w:hAnsi="Arial"/>
          <w:sz w:val="20"/>
          <w:szCs w:val="20"/>
        </w:rPr>
        <w:t xml:space="preserve">1.6 Hospitalisation: Admission for a continuous period of not less than 24 hours for medically necessary inpatient treatment.</w:t>
      </w:r>
    </w:p>
    <w:p>
      <w:pPr>
        <w:spacing w:before="80" w:after="80"/>
      </w:pPr>
      <w:r>
        <w:rPr>
          <w:rFonts w:ascii="Arial" w:cs="Arial" w:eastAsia="Arial" w:hAnsi="Arial"/>
          <w:sz w:val="20"/>
          <w:szCs w:val="20"/>
        </w:rPr>
        <w:t xml:space="preserve">1.7 Day Care Procedure: A medical or surgical procedure requiring less than 24 hours of hospitalisation due to technological advancement. Only procedures listed in Schedule II of this policy are covered as Day Care. Refer to Schedule II for the complete list.</w:t>
      </w:r>
    </w:p>
    <w:p>
      <w:pPr>
        <w:spacing w:before="80" w:after="80"/>
      </w:pPr>
      <w:r>
        <w:rPr>
          <w:rFonts w:ascii="Arial" w:cs="Arial" w:eastAsia="Arial" w:hAnsi="Arial"/>
          <w:sz w:val="20"/>
          <w:szCs w:val="20"/>
        </w:rPr>
        <w:t xml:space="preserve">1.8 Reasonable and Customary Charges: Charges that are consistent with the prevailing rates in the area for the specific treatment, as assessed by the Company or its TPA. The Company reserves the right to restrict payment to reasonable and customary charges even if the actual charges are higher.</w:t>
      </w:r>
    </w:p>
    <w:p>
      <w:r>
        <w:t xml:space="preserve"/>
      </w:r>
    </w:p>
    <w:p>
      <w:pPr>
        <w:pStyle w:val="Heading1"/>
        <w:spacing w:before="300" w:after="150"/>
      </w:pPr>
      <w:r>
        <w:rPr>
          <w:rFonts w:ascii="Arial" w:cs="Arial" w:eastAsia="Arial" w:hAnsi="Arial"/>
          <w:b/>
          <w:bCs/>
          <w:color w:val="1F4E79"/>
          <w:sz w:val="28"/>
          <w:szCs w:val="28"/>
        </w:rPr>
        <w:t xml:space="preserve">CHAPTER 2: COVERAGE</w:t>
      </w:r>
    </w:p>
    <w:p>
      <w:pPr>
        <w:spacing w:before="80" w:after="80"/>
      </w:pPr>
      <w:r>
        <w:rPr>
          <w:rFonts w:ascii="Arial" w:cs="Arial" w:eastAsia="Arial" w:hAnsi="Arial"/>
          <w:sz w:val="20"/>
          <w:szCs w:val="20"/>
        </w:rPr>
        <w:t xml:space="preserve">2.1 In-Patient Hospitalisation: The Company shall indemnify admissible in-patient expenses including room charges, nursing, surgeon and anaesthetist fees, medicines, diagnostic tests, and other medical expenses as per policy schedule.</w:t>
      </w:r>
    </w:p>
    <w:p>
      <w:pPr>
        <w:spacing w:before="80" w:after="80"/>
      </w:pPr>
      <w:r>
        <w:rPr>
          <w:rFonts w:ascii="Arial" w:cs="Arial" w:eastAsia="Arial" w:hAnsi="Arial"/>
          <w:sz w:val="20"/>
          <w:szCs w:val="20"/>
        </w:rPr>
        <w:t xml:space="preserve">2.2 Pre-Hospitalisation: Covered up to 30 days prior to admission.</w:t>
      </w:r>
    </w:p>
    <w:p>
      <w:pPr>
        <w:spacing w:before="80" w:after="80"/>
      </w:pPr>
      <w:r>
        <w:rPr>
          <w:rFonts w:ascii="Arial" w:cs="Arial" w:eastAsia="Arial" w:hAnsi="Arial"/>
          <w:sz w:val="20"/>
          <w:szCs w:val="20"/>
        </w:rPr>
        <w:t xml:space="preserve">2.3 Post-Hospitalisation: Covered up to 60 days post discharge.</w:t>
      </w:r>
    </w:p>
    <w:p>
      <w:pPr>
        <w:spacing w:before="80" w:after="80"/>
      </w:pPr>
      <w:r>
        <w:rPr>
          <w:rFonts w:ascii="Arial" w:cs="Arial" w:eastAsia="Arial" w:hAnsi="Arial"/>
          <w:sz w:val="20"/>
          <w:szCs w:val="20"/>
        </w:rPr>
        <w:t xml:space="preserve">2.4 Room Rent: Room rent is covered up to 1% of SI per day. Proportionate deduction applies if a higher-category room is availed. For the purpose of proportionate deduction, the ratio shall be calculated as: (Actual Room Rent – Eligible Room Rent) / Eligible Room Rent x 100, and the resulting percentage shall be deducted from all associated charges including surgeon fee, anaesthesia, diagnostics, pharmacy, and nursing.</w:t>
      </w:r>
    </w:p>
    <w:p>
      <w:pPr>
        <w:spacing w:before="80" w:after="80"/>
      </w:pPr>
      <w:r>
        <w:rPr>
          <w:rFonts w:ascii="Arial" w:cs="Arial" w:eastAsia="Arial" w:hAnsi="Arial"/>
          <w:sz w:val="20"/>
          <w:szCs w:val="20"/>
        </w:rPr>
        <w:t xml:space="preserve">2.5 ICU/ICCU: ICU charges covered up to 2% of SI per day. Any charges exceeding the sub-limit including fees for specialist consultations and procedures performed in ICU shall be borne by the Insured Person.</w:t>
      </w:r>
    </w:p>
    <w:p>
      <w:pPr>
        <w:spacing w:before="80" w:after="80"/>
      </w:pPr>
      <w:r>
        <w:rPr>
          <w:rFonts w:ascii="Arial" w:cs="Arial" w:eastAsia="Arial" w:hAnsi="Arial"/>
          <w:sz w:val="20"/>
          <w:szCs w:val="20"/>
        </w:rPr>
        <w:t xml:space="preserve">2.6 Day Care Procedures: Procedures listed in Schedule II attached hereto are covered. Any procedure not listed in Schedule II is not covered regardless of the procedure being included in the IRDAI standard day care list. The Company does not guarantee that Schedule II is equivalent to the IRDAI Day Care Procedure List.</w:t>
      </w:r>
    </w:p>
    <w:p>
      <w:pPr>
        <w:spacing w:before="80" w:after="80"/>
      </w:pPr>
      <w:r>
        <w:rPr>
          <w:rFonts w:ascii="Arial" w:cs="Arial" w:eastAsia="Arial" w:hAnsi="Arial"/>
          <w:sz w:val="20"/>
          <w:szCs w:val="20"/>
        </w:rPr>
        <w:t xml:space="preserve">2.7 Domiciliary Hospitalisation: Treatment at home covered up to ₹50,000 per policy year subject to medical necessity certification.</w:t>
      </w:r>
    </w:p>
    <w:p>
      <w:pPr>
        <w:spacing w:before="80" w:after="80"/>
      </w:pPr>
      <w:r>
        <w:rPr>
          <w:rFonts w:ascii="Arial" w:cs="Arial" w:eastAsia="Arial" w:hAnsi="Arial"/>
          <w:sz w:val="20"/>
          <w:szCs w:val="20"/>
        </w:rPr>
        <w:t xml:space="preserve">2.8 Ambulance Charges: ₹2,000 per hospitalisation event.</w:t>
      </w:r>
    </w:p>
    <w:p>
      <w:pPr>
        <w:spacing w:before="80" w:after="80"/>
      </w:pPr>
      <w:r>
        <w:rPr>
          <w:rFonts w:ascii="Arial" w:cs="Arial" w:eastAsia="Arial" w:hAnsi="Arial"/>
          <w:sz w:val="20"/>
          <w:szCs w:val="20"/>
        </w:rPr>
        <w:t xml:space="preserve">2.9 Maternity Benefit: Normal delivery up to ₹50,000; Caesarean up to ₹75,000; Pre/Post natal up to ₹10,000. Two deliveries maximum per female insured member. No waiting period.</w:t>
      </w:r>
    </w:p>
    <w:p>
      <w:pPr>
        <w:spacing w:before="80" w:after="80"/>
      </w:pPr>
      <w:r>
        <w:rPr>
          <w:rFonts w:ascii="Arial" w:cs="Arial" w:eastAsia="Arial" w:hAnsi="Arial"/>
          <w:sz w:val="20"/>
          <w:szCs w:val="20"/>
        </w:rPr>
        <w:t xml:space="preserve">2.10 New-Born Coverage: Covered from birth under mother's SI. Congenital diseases within 30 days of birth covered.</w:t>
      </w:r>
    </w:p>
    <w:p>
      <w:pPr>
        <w:spacing w:before="80" w:after="80"/>
      </w:pPr>
      <w:r>
        <w:rPr>
          <w:rFonts w:ascii="Arial" w:cs="Arial" w:eastAsia="Arial" w:hAnsi="Arial"/>
          <w:sz w:val="20"/>
          <w:szCs w:val="20"/>
        </w:rPr>
        <w:t xml:space="preserve">2.11 Mental Health: Psychiatric conditions requiring hospitalisation are covered.</w:t>
      </w:r>
    </w:p>
    <w:p>
      <w:pPr>
        <w:spacing w:before="80" w:after="80"/>
      </w:pPr>
      <w:r>
        <w:rPr>
          <w:rFonts w:ascii="Arial" w:cs="Arial" w:eastAsia="Arial" w:hAnsi="Arial"/>
          <w:sz w:val="20"/>
          <w:szCs w:val="20"/>
        </w:rPr>
        <w:t xml:space="preserve">2.12 Organ Donor Expenses: Not covered under this policy.</w:t>
      </w:r>
    </w:p>
    <w:p>
      <w:r>
        <w:t xml:space="preserve"/>
      </w:r>
    </w:p>
    <w:p>
      <w:pPr>
        <w:pStyle w:val="Heading1"/>
        <w:spacing w:before="300" w:after="150"/>
      </w:pPr>
      <w:r>
        <w:rPr>
          <w:rFonts w:ascii="Arial" w:cs="Arial" w:eastAsia="Arial" w:hAnsi="Arial"/>
          <w:b/>
          <w:bCs/>
          <w:color w:val="1F4E79"/>
          <w:sz w:val="28"/>
          <w:szCs w:val="28"/>
        </w:rPr>
        <w:t xml:space="preserve">CHAPTER 3: CO-PAY PROVISIONS</w:t>
      </w:r>
    </w:p>
    <w:p>
      <w:pPr>
        <w:spacing w:before="80" w:after="80"/>
      </w:pPr>
      <w:r>
        <w:rPr>
          <w:rFonts w:ascii="Arial" w:cs="Arial" w:eastAsia="Arial" w:hAnsi="Arial"/>
          <w:sz w:val="20"/>
          <w:szCs w:val="20"/>
        </w:rPr>
        <w:t xml:space="preserve">3.1 In-Network Claims: NIL co-pay for in-network hospitalisation.</w:t>
      </w:r>
    </w:p>
    <w:p>
      <w:pPr>
        <w:spacing w:before="80" w:after="80"/>
      </w:pPr>
      <w:r>
        <w:rPr>
          <w:rFonts w:ascii="Arial" w:cs="Arial" w:eastAsia="Arial" w:hAnsi="Arial"/>
          <w:sz w:val="20"/>
          <w:szCs w:val="20"/>
        </w:rPr>
        <w:t xml:space="preserve">3.2 Out-of-Network Claims: 20% co-pay on admissible amount.</w:t>
      </w:r>
    </w:p>
    <w:p>
      <w:pPr>
        <w:spacing w:before="80" w:after="80"/>
      </w:pPr>
      <w:r>
        <w:rPr>
          <w:rFonts w:ascii="Arial" w:cs="Arial" w:eastAsia="Arial" w:hAnsi="Arial"/>
          <w:sz w:val="20"/>
          <w:szCs w:val="20"/>
        </w:rPr>
        <w:t xml:space="preserve">3.3 Parental Cover: 20% co-pay on all claims under parental floater.</w:t>
      </w:r>
    </w:p>
    <w:p>
      <w:pPr>
        <w:spacing w:before="80" w:after="80"/>
      </w:pPr>
      <w:r>
        <w:rPr>
          <w:rFonts w:ascii="Arial" w:cs="Arial" w:eastAsia="Arial" w:hAnsi="Arial"/>
          <w:sz w:val="20"/>
          <w:szCs w:val="20"/>
        </w:rPr>
        <w:t xml:space="preserve">3.4 Critical Illness and Chronic Disease Management: For claims relating to chronic or lifestyle diseases (including but not limited to diabetes, hypertension, cardiovascular disease, chronic kidney disease, and COPD) where the hospitalisation exceeds 5 days, an additional co-pay of 10% shall apply on the amount exceeding ₹1,00,000, in addition to any other co-pay under Clause 3.1–3.3.</w:t>
      </w:r>
    </w:p>
    <w:p>
      <w:r>
        <w:t xml:space="preserve"/>
      </w:r>
    </w:p>
    <w:p>
      <w:pPr>
        <w:pStyle w:val="Heading1"/>
        <w:spacing w:before="300" w:after="150"/>
      </w:pPr>
      <w:r>
        <w:rPr>
          <w:rFonts w:ascii="Arial" w:cs="Arial" w:eastAsia="Arial" w:hAnsi="Arial"/>
          <w:b/>
          <w:bCs/>
          <w:color w:val="1F4E79"/>
          <w:sz w:val="28"/>
          <w:szCs w:val="28"/>
        </w:rPr>
        <w:t xml:space="preserve">CHAPTER 4: WAITING PERIODS</w:t>
      </w:r>
    </w:p>
    <w:p>
      <w:pPr>
        <w:spacing w:before="80" w:after="80"/>
      </w:pPr>
      <w:r>
        <w:rPr>
          <w:rFonts w:ascii="Arial" w:cs="Arial" w:eastAsia="Arial" w:hAnsi="Arial"/>
          <w:sz w:val="20"/>
          <w:szCs w:val="20"/>
        </w:rPr>
        <w:t xml:space="preserve">4.1 Pre-Existing Diseases: Waived for all members enrolled at inception under this group policy. PED covered from Day 1.</w:t>
      </w:r>
    </w:p>
    <w:p>
      <w:pPr>
        <w:spacing w:before="80" w:after="80"/>
      </w:pPr>
      <w:r>
        <w:rPr>
          <w:rFonts w:ascii="Arial" w:cs="Arial" w:eastAsia="Arial" w:hAnsi="Arial"/>
          <w:sz w:val="20"/>
          <w:szCs w:val="20"/>
        </w:rPr>
        <w:t xml:space="preserve">4.2 Initial Waiting Period: NIL.</w:t>
      </w:r>
    </w:p>
    <w:p>
      <w:pPr>
        <w:spacing w:before="80" w:after="80"/>
      </w:pPr>
      <w:r>
        <w:rPr>
          <w:rFonts w:ascii="Arial" w:cs="Arial" w:eastAsia="Arial" w:hAnsi="Arial"/>
          <w:sz w:val="20"/>
          <w:szCs w:val="20"/>
        </w:rPr>
        <w:t xml:space="preserve">4.3 Specific Diseases – Mid-Term Joiners: 30-day waiting period for cataracts, hernia, hysterectomy, joint replacement, and varicose veins.</w:t>
      </w:r>
    </w:p>
    <w:p>
      <w:pPr>
        <w:spacing w:before="80" w:after="80"/>
      </w:pPr>
      <w:r>
        <w:rPr>
          <w:rFonts w:ascii="Arial" w:cs="Arial" w:eastAsia="Arial" w:hAnsi="Arial"/>
          <w:sz w:val="20"/>
          <w:szCs w:val="20"/>
        </w:rPr>
        <w:t xml:space="preserve">4.4 Maternity: No waiting period.</w:t>
      </w:r>
    </w:p>
    <w:p>
      <w:r>
        <w:t xml:space="preserve"/>
      </w:r>
    </w:p>
    <w:p>
      <w:pPr>
        <w:pStyle w:val="Heading1"/>
        <w:spacing w:before="300" w:after="150"/>
      </w:pPr>
      <w:r>
        <w:rPr>
          <w:rFonts w:ascii="Arial" w:cs="Arial" w:eastAsia="Arial" w:hAnsi="Arial"/>
          <w:b/>
          <w:bCs/>
          <w:color w:val="1F4E79"/>
          <w:sz w:val="28"/>
          <w:szCs w:val="28"/>
        </w:rPr>
        <w:t xml:space="preserve">CHAPTER 5: EXCLUSIONS</w:t>
      </w:r>
    </w:p>
    <w:p>
      <w:pPr>
        <w:spacing w:before="80" w:after="80"/>
      </w:pPr>
      <w:r>
        <w:rPr>
          <w:rFonts w:ascii="Arial" w:cs="Arial" w:eastAsia="Arial" w:hAnsi="Arial"/>
          <w:sz w:val="20"/>
          <w:szCs w:val="20"/>
        </w:rPr>
        <w:t xml:space="preserve">The following are not covered:</w:t>
      </w:r>
    </w:p>
    <w:p>
      <w:pPr>
        <w:pStyle w:val="ListParagraph"/>
        <w:numPr>
          <w:ilvl w:val="0"/>
          <w:numId w:val="2"/>
        </w:numPr>
        <w:spacing w:before="60" w:after="60"/>
      </w:pPr>
      <w:r>
        <w:rPr>
          <w:rFonts w:ascii="Arial" w:cs="Arial" w:eastAsia="Arial" w:hAnsi="Arial"/>
          <w:sz w:val="20"/>
          <w:szCs w:val="20"/>
        </w:rPr>
        <w:t xml:space="preserve">Cosmetic, aesthetic, or reconstructive procedures (non-accidental)</w:t>
      </w:r>
    </w:p>
    <w:p>
      <w:pPr>
        <w:pStyle w:val="ListParagraph"/>
        <w:numPr>
          <w:ilvl w:val="0"/>
          <w:numId w:val="2"/>
        </w:numPr>
        <w:spacing w:before="60" w:after="60"/>
      </w:pPr>
      <w:r>
        <w:rPr>
          <w:rFonts w:ascii="Arial" w:cs="Arial" w:eastAsia="Arial" w:hAnsi="Arial"/>
          <w:sz w:val="20"/>
          <w:szCs w:val="20"/>
        </w:rPr>
        <w:t xml:space="preserve">Weight management and obesity treatment</w:t>
      </w:r>
    </w:p>
    <w:p>
      <w:pPr>
        <w:pStyle w:val="ListParagraph"/>
        <w:numPr>
          <w:ilvl w:val="0"/>
          <w:numId w:val="2"/>
        </w:numPr>
        <w:spacing w:before="60" w:after="60"/>
      </w:pPr>
      <w:r>
        <w:rPr>
          <w:rFonts w:ascii="Arial" w:cs="Arial" w:eastAsia="Arial" w:hAnsi="Arial"/>
          <w:sz w:val="20"/>
          <w:szCs w:val="20"/>
        </w:rPr>
        <w:t xml:space="preserve">Infertility and assisted reproductive treatment</w:t>
      </w:r>
    </w:p>
    <w:p>
      <w:pPr>
        <w:pStyle w:val="ListParagraph"/>
        <w:numPr>
          <w:ilvl w:val="0"/>
          <w:numId w:val="2"/>
        </w:numPr>
        <w:spacing w:before="60" w:after="60"/>
      </w:pPr>
      <w:r>
        <w:rPr>
          <w:rFonts w:ascii="Arial" w:cs="Arial" w:eastAsia="Arial" w:hAnsi="Arial"/>
          <w:sz w:val="20"/>
          <w:szCs w:val="20"/>
        </w:rPr>
        <w:t xml:space="preserve">Dental treatment (non-accidental)</w:t>
      </w:r>
    </w:p>
    <w:p>
      <w:pPr>
        <w:pStyle w:val="ListParagraph"/>
        <w:numPr>
          <w:ilvl w:val="0"/>
          <w:numId w:val="2"/>
        </w:numPr>
        <w:spacing w:before="60" w:after="60"/>
      </w:pPr>
      <w:r>
        <w:rPr>
          <w:rFonts w:ascii="Arial" w:cs="Arial" w:eastAsia="Arial" w:hAnsi="Arial"/>
          <w:sz w:val="20"/>
          <w:szCs w:val="20"/>
        </w:rPr>
        <w:t xml:space="preserve">Spectacles, contact lenses, hearing aids</w:t>
      </w:r>
    </w:p>
    <w:p>
      <w:pPr>
        <w:pStyle w:val="ListParagraph"/>
        <w:numPr>
          <w:ilvl w:val="0"/>
          <w:numId w:val="2"/>
        </w:numPr>
        <w:spacing w:before="60" w:after="60"/>
      </w:pPr>
      <w:r>
        <w:rPr>
          <w:rFonts w:ascii="Arial" w:cs="Arial" w:eastAsia="Arial" w:hAnsi="Arial"/>
          <w:sz w:val="20"/>
          <w:szCs w:val="20"/>
        </w:rPr>
        <w:t xml:space="preserve">Self-inflicted injury and suicide attempts</w:t>
      </w:r>
    </w:p>
    <w:p>
      <w:pPr>
        <w:pStyle w:val="ListParagraph"/>
        <w:numPr>
          <w:ilvl w:val="0"/>
          <w:numId w:val="2"/>
        </w:numPr>
        <w:spacing w:before="60" w:after="60"/>
      </w:pPr>
      <w:r>
        <w:rPr>
          <w:rFonts w:ascii="Arial" w:cs="Arial" w:eastAsia="Arial" w:hAnsi="Arial"/>
          <w:sz w:val="20"/>
          <w:szCs w:val="20"/>
        </w:rPr>
        <w:t xml:space="preserve">War, invasion, nuclear, biological, chemical contamination</w:t>
      </w:r>
    </w:p>
    <w:p>
      <w:pPr>
        <w:pStyle w:val="ListParagraph"/>
        <w:numPr>
          <w:ilvl w:val="0"/>
          <w:numId w:val="2"/>
        </w:numPr>
        <w:spacing w:before="60" w:after="60"/>
      </w:pPr>
      <w:r>
        <w:rPr>
          <w:rFonts w:ascii="Arial" w:cs="Arial" w:eastAsia="Arial" w:hAnsi="Arial"/>
          <w:sz w:val="20"/>
          <w:szCs w:val="20"/>
        </w:rPr>
        <w:t xml:space="preserve">Substance abuse and alcoholism</w:t>
      </w:r>
    </w:p>
    <w:p>
      <w:pPr>
        <w:pStyle w:val="ListParagraph"/>
        <w:numPr>
          <w:ilvl w:val="0"/>
          <w:numId w:val="2"/>
        </w:numPr>
        <w:spacing w:before="60" w:after="60"/>
      </w:pPr>
      <w:r>
        <w:rPr>
          <w:rFonts w:ascii="Arial" w:cs="Arial" w:eastAsia="Arial" w:hAnsi="Arial"/>
          <w:sz w:val="20"/>
          <w:szCs w:val="20"/>
        </w:rPr>
        <w:t xml:space="preserve">Experimental / unproven treatments</w:t>
      </w:r>
    </w:p>
    <w:p>
      <w:pPr>
        <w:pStyle w:val="ListParagraph"/>
        <w:numPr>
          <w:ilvl w:val="0"/>
          <w:numId w:val="2"/>
        </w:numPr>
        <w:spacing w:before="60" w:after="60"/>
      </w:pPr>
      <w:r>
        <w:rPr>
          <w:rFonts w:ascii="Arial" w:cs="Arial" w:eastAsia="Arial" w:hAnsi="Arial"/>
          <w:sz w:val="20"/>
          <w:szCs w:val="20"/>
        </w:rPr>
        <w:t xml:space="preserve">Hazardous sports injuries</w:t>
      </w:r>
    </w:p>
    <w:p>
      <w:pPr>
        <w:pStyle w:val="ListParagraph"/>
        <w:numPr>
          <w:ilvl w:val="0"/>
          <w:numId w:val="2"/>
        </w:numPr>
        <w:spacing w:before="60" w:after="60"/>
      </w:pPr>
      <w:r>
        <w:rPr>
          <w:rFonts w:ascii="Arial" w:cs="Arial" w:eastAsia="Arial" w:hAnsi="Arial"/>
          <w:sz w:val="20"/>
          <w:szCs w:val="20"/>
        </w:rPr>
        <w:t xml:space="preserve">Treatment outside India</w:t>
      </w:r>
    </w:p>
    <w:p>
      <w:pPr>
        <w:pStyle w:val="ListParagraph"/>
        <w:numPr>
          <w:ilvl w:val="0"/>
          <w:numId w:val="2"/>
        </w:numPr>
        <w:spacing w:before="60" w:after="60"/>
      </w:pPr>
      <w:r>
        <w:rPr>
          <w:rFonts w:ascii="Arial" w:cs="Arial" w:eastAsia="Arial" w:hAnsi="Arial"/>
          <w:sz w:val="20"/>
          <w:szCs w:val="20"/>
        </w:rPr>
        <w:t xml:space="preserve">Refractive error correction</w:t>
      </w:r>
    </w:p>
    <w:p>
      <w:pPr>
        <w:pStyle w:val="ListParagraph"/>
        <w:numPr>
          <w:ilvl w:val="0"/>
          <w:numId w:val="2"/>
        </w:numPr>
        <w:spacing w:before="60" w:after="60"/>
      </w:pPr>
      <w:r>
        <w:rPr>
          <w:rFonts w:ascii="Arial" w:cs="Arial" w:eastAsia="Arial" w:hAnsi="Arial"/>
          <w:sz w:val="20"/>
          <w:szCs w:val="20"/>
        </w:rPr>
        <w:t xml:space="preserve">Convalescence, rest cure, obesity, exhaustion, and similar non-disease admissions</w:t>
      </w:r>
    </w:p>
    <w:p>
      <w:pPr>
        <w:pStyle w:val="ListParagraph"/>
        <w:numPr>
          <w:ilvl w:val="0"/>
          <w:numId w:val="2"/>
        </w:numPr>
        <w:spacing w:before="60" w:after="60"/>
      </w:pPr>
      <w:r>
        <w:rPr>
          <w:rFonts w:ascii="Arial" w:cs="Arial" w:eastAsia="Arial" w:hAnsi="Arial"/>
          <w:sz w:val="20"/>
          <w:szCs w:val="20"/>
        </w:rPr>
        <w:t xml:space="preserve">Any procedure not listed in Schedule II (Day Care specific exclusion)</w:t>
      </w:r>
    </w:p>
    <w:p>
      <w:r>
        <w:t xml:space="preserve"/>
      </w:r>
    </w:p>
    <w:p>
      <w:pPr>
        <w:pStyle w:val="Heading1"/>
        <w:spacing w:before="300" w:after="150"/>
      </w:pPr>
      <w:r>
        <w:rPr>
          <w:rFonts w:ascii="Arial" w:cs="Arial" w:eastAsia="Arial" w:hAnsi="Arial"/>
          <w:b/>
          <w:bCs/>
          <w:color w:val="1F4E79"/>
          <w:sz w:val="28"/>
          <w:szCs w:val="28"/>
        </w:rPr>
        <w:t xml:space="preserve">CHAPTER 6: CLAIMS PROCEDURE</w:t>
      </w:r>
    </w:p>
    <w:p>
      <w:pPr>
        <w:spacing w:before="80" w:after="80"/>
      </w:pPr>
      <w:r>
        <w:rPr>
          <w:rFonts w:ascii="Arial" w:cs="Arial" w:eastAsia="Arial" w:hAnsi="Arial"/>
          <w:sz w:val="20"/>
          <w:szCs w:val="20"/>
        </w:rPr>
        <w:t xml:space="preserve">6.1 Cashless Claims: Insured shall inform Star Health Claims at least 48 hours prior to planned admission. Emergency intimation to be given within 24 hours of admission. The Company shall issue cashless pre-authorisation for planned hospitalisation within 2 hours and emergency within 1 hour. Helpline: 1800-425-2255 (24x7).</w:t>
      </w:r>
    </w:p>
    <w:p>
      <w:pPr>
        <w:spacing w:before="80" w:after="80"/>
      </w:pPr>
      <w:r>
        <w:rPr>
          <w:rFonts w:ascii="Arial" w:cs="Arial" w:eastAsia="Arial" w:hAnsi="Arial"/>
          <w:sz w:val="20"/>
          <w:szCs w:val="20"/>
        </w:rPr>
        <w:t xml:space="preserve">6.2 Reimbursement Claims: Submit within 30 days of discharge with complete documents. The Company shall settle within 21 working days of receipt of complete documents.</w:t>
      </w:r>
    </w:p>
    <w:p>
      <w:pPr>
        <w:spacing w:before="80" w:after="80"/>
      </w:pPr>
      <w:r>
        <w:rPr>
          <w:rFonts w:ascii="Arial" w:cs="Arial" w:eastAsia="Arial" w:hAnsi="Arial"/>
          <w:sz w:val="20"/>
          <w:szCs w:val="20"/>
        </w:rPr>
        <w:t xml:space="preserve">6.3 Deficiency Notice: Issued within 7 working days of claim receipt.</w:t>
      </w:r>
    </w:p>
    <w:p>
      <w:pPr>
        <w:spacing w:before="80" w:after="80"/>
      </w:pPr>
      <w:r>
        <w:rPr>
          <w:rFonts w:ascii="Arial" w:cs="Arial" w:eastAsia="Arial" w:hAnsi="Arial"/>
          <w:sz w:val="20"/>
          <w:szCs w:val="20"/>
        </w:rPr>
        <w:t xml:space="preserve">6.4 Disputes: May be escalated to the GRO and thereafter to IRDAI IGMS or Insurance Ombudsman.</w:t>
      </w:r>
    </w:p>
    <w:p>
      <w:r>
        <w:t xml:space="preserve"/>
      </w:r>
    </w:p>
    <w:p>
      <w:pPr>
        <w:pStyle w:val="Heading1"/>
        <w:spacing w:before="300" w:after="150"/>
      </w:pPr>
      <w:r>
        <w:rPr>
          <w:rFonts w:ascii="Arial" w:cs="Arial" w:eastAsia="Arial" w:hAnsi="Arial"/>
          <w:b/>
          <w:bCs/>
          <w:color w:val="1F4E79"/>
          <w:sz w:val="28"/>
          <w:szCs w:val="28"/>
        </w:rPr>
        <w:t xml:space="preserve">CHAPTER 7: GENERAL CONDITIONS</w:t>
      </w:r>
    </w:p>
    <w:p>
      <w:pPr>
        <w:spacing w:before="80" w:after="80"/>
      </w:pPr>
      <w:r>
        <w:rPr>
          <w:rFonts w:ascii="Arial" w:cs="Arial" w:eastAsia="Arial" w:hAnsi="Arial"/>
          <w:sz w:val="20"/>
          <w:szCs w:val="20"/>
        </w:rPr>
        <w:t xml:space="preserve">7.1 Free Look Period: 15 days from receipt of policy document.</w:t>
      </w:r>
    </w:p>
    <w:p>
      <w:pPr>
        <w:spacing w:before="80" w:after="80"/>
      </w:pPr>
      <w:r>
        <w:rPr>
          <w:rFonts w:ascii="Arial" w:cs="Arial" w:eastAsia="Arial" w:hAnsi="Arial"/>
          <w:sz w:val="20"/>
          <w:szCs w:val="20"/>
        </w:rPr>
        <w:t xml:space="preserve">7.2 Cancellation by Insured: 30 days written notice; pro-rata refund on short-period scale subject to no pending claims.</w:t>
      </w:r>
    </w:p>
    <w:p>
      <w:pPr>
        <w:spacing w:before="80" w:after="80"/>
      </w:pPr>
      <w:r>
        <w:rPr>
          <w:rFonts w:ascii="Arial" w:cs="Arial" w:eastAsia="Arial" w:hAnsi="Arial"/>
          <w:sz w:val="20"/>
          <w:szCs w:val="20"/>
        </w:rPr>
        <w:t xml:space="preserve">7.3 Cancellation by Company: 30 days written notice for misrepresentation or fraud.</w:t>
      </w:r>
    </w:p>
    <w:p>
      <w:pPr>
        <w:spacing w:before="80" w:after="80"/>
      </w:pPr>
      <w:r>
        <w:rPr>
          <w:rFonts w:ascii="Arial" w:cs="Arial" w:eastAsia="Arial" w:hAnsi="Arial"/>
          <w:sz w:val="20"/>
          <w:szCs w:val="20"/>
        </w:rPr>
        <w:t xml:space="preserve">7.4 Subrogation: Company subrogated to Insured's rights against liable third parties upon claim settlement.</w:t>
      </w:r>
    </w:p>
    <w:p>
      <w:pPr>
        <w:spacing w:before="80" w:after="80"/>
      </w:pPr>
      <w:r>
        <w:rPr>
          <w:rFonts w:ascii="Arial" w:cs="Arial" w:eastAsia="Arial" w:hAnsi="Arial"/>
          <w:sz w:val="20"/>
          <w:szCs w:val="20"/>
        </w:rPr>
        <w:t xml:space="preserve">7.5 Governing Law: Laws of India; disputes subject to courts in Chennai, Tamil Nadu.</w:t>
      </w:r>
    </w:p>
    <w:p>
      <w:pPr>
        <w:spacing w:before="80" w:after="80"/>
      </w:pPr>
      <w:r>
        <w:rPr>
          <w:rFonts w:ascii="Arial" w:cs="Arial" w:eastAsia="Arial" w:hAnsi="Arial"/>
          <w:sz w:val="20"/>
          <w:szCs w:val="20"/>
        </w:rPr>
        <w:t xml:space="preserve">7.6 Reasonable and Customary Charges: The Company's liability for any claim component shall be limited to Reasonable and Customary Charges as assessed by the Company. The Insured acknowledges that the Company's assessment of reasonable and customary charges shall be final and binding in the absence of contrary evidence from the Insured.</w:t>
      </w:r>
    </w:p>
    <w:p>
      <w:r>
        <w:t xml:space="preserve"/>
      </w:r>
    </w:p>
    <w:p>
      <w:pPr>
        <w:pBdr>
          <w:bottom w:val="single" w:color="2E75B6" w:sz="4"/>
        </w:pBdr>
        <w:spacing w:before="120" w:after="120"/>
      </w:pPr>
    </w:p>
    <w:p>
      <w:pPr>
        <w:spacing w:before="80" w:after="80"/>
      </w:pPr>
      <w:r>
        <w:rPr>
          <w:rFonts w:ascii="Arial" w:cs="Arial" w:eastAsia="Arial" w:hAnsi="Arial"/>
          <w:sz w:val="20"/>
          <w:szCs w:val="20"/>
        </w:rPr>
        <w:t xml:space="preserve">This policy is issued subject to receipt of full premium and is governed by the terms, conditions, and exclusions set out herein and in all endorsements and addenda attached hereto. In the event of any conflict between this document and any addendum, the addendum shall prevail.</w:t>
      </w:r>
    </w:p>
    <w:p>
      <w:r>
        <w:t xml:space="preserve"/>
      </w:r>
    </w:p>
    <w:p>
      <w:pPr>
        <w:spacing w:before="80" w:after="80"/>
      </w:pPr>
      <w:r>
        <w:rPr>
          <w:rFonts w:ascii="Arial" w:cs="Arial" w:eastAsia="Arial" w:hAnsi="Arial"/>
          <w:b/>
          <w:bCs/>
          <w:sz w:val="20"/>
          <w:szCs w:val="20"/>
        </w:rPr>
        <w:t xml:space="preserve">Authorised Signatory: Ramakrishnan Pillai | Vice President – Underwriting | Star Health and Allied Insurance Co. Ltd.</w:t>
      </w:r>
    </w:p>
    <w:p>
      <w:pPr>
        <w:spacing w:before="80" w:after="80"/>
      </w:pPr>
      <w:r>
        <w:rPr>
          <w:rFonts w:ascii="Arial" w:cs="Arial" w:eastAsia="Arial" w:hAnsi="Arial"/>
          <w:sz w:val="20"/>
          <w:szCs w:val="20"/>
        </w:rPr>
        <w:t xml:space="preserve">Place: Chennai  |  Date: 28 May 2025</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2026-03-24T08:26:56.897Z</dcterms:created>
  <dcterms:modified xsi:type="dcterms:W3CDTF">2026-03-24T08:26:56.897Z</dcterms:modified>
</cp:coreProperties>
</file>

<file path=docProps/custom.xml><?xml version="1.0" encoding="utf-8"?>
<Properties xmlns="http://schemas.openxmlformats.org/officeDocument/2006/custom-properties" xmlns:vt="http://schemas.openxmlformats.org/officeDocument/2006/docPropsVTypes"/>
</file>