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2F79" w14:textId="2AE5EC8E" w:rsidR="007B706B" w:rsidRPr="007B706B" w:rsidRDefault="00581533" w:rsidP="007B706B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A67CC1">
        <w:rPr>
          <w:rFonts w:ascii="Times New Roman" w:eastAsia="Times New Roman" w:hAnsi="Times New Roman" w:cs="Times New Roman"/>
          <w:b/>
          <w:bCs/>
          <w:sz w:val="28"/>
          <w:szCs w:val="24"/>
          <w:lang w:bidi="en-US"/>
        </w:rPr>
        <w:t>Задание:</w:t>
      </w:r>
      <w:r w:rsidRPr="00A67CC1">
        <w:rPr>
          <w:rFonts w:ascii="Times New Roman" w:eastAsia="Times New Roman" w:hAnsi="Times New Roman" w:cs="Times New Roman"/>
          <w:sz w:val="28"/>
          <w:szCs w:val="24"/>
          <w:lang w:val="en-US" w:bidi="en-US"/>
        </w:rPr>
        <w:t> </w:t>
      </w:r>
      <w:r w:rsidRPr="00A67CC1">
        <w:rPr>
          <w:rFonts w:ascii="Times New Roman" w:eastAsia="Times New Roman" w:hAnsi="Times New Roman" w:cs="Times New Roman"/>
          <w:sz w:val="24"/>
          <w:szCs w:val="24"/>
          <w:lang w:bidi="en-US"/>
        </w:rPr>
        <w:t>«</w:t>
      </w:r>
      <w:r w:rsidRPr="00A67CC1">
        <w:rPr>
          <w:rFonts w:ascii="Times New Roman" w:eastAsia="Calibri" w:hAnsi="Times New Roman" w:cs="Times New Roman"/>
          <w:sz w:val="24"/>
          <w:szCs w:val="24"/>
          <w:lang w:bidi="en-US"/>
        </w:rPr>
        <w:t>Анализ внешней среды и определение стратегии организации»</w:t>
      </w:r>
    </w:p>
    <w:p w14:paraId="5106C6DC" w14:textId="77777777" w:rsidR="00581533" w:rsidRPr="00A67CC1" w:rsidRDefault="00581533" w:rsidP="00581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bidi="en-US"/>
        </w:rPr>
      </w:pPr>
      <w:r w:rsidRPr="00A67CC1">
        <w:rPr>
          <w:rFonts w:ascii="Times New Roman" w:eastAsia="Times New Roman" w:hAnsi="Times New Roman" w:cs="Times New Roman"/>
          <w:b/>
          <w:i/>
          <w:sz w:val="24"/>
          <w:szCs w:val="24"/>
          <w:lang w:bidi="en-US"/>
        </w:rPr>
        <w:t>Содержание работы:</w:t>
      </w:r>
    </w:p>
    <w:p w14:paraId="0C07B9EC" w14:textId="77777777" w:rsidR="00581533" w:rsidRPr="00A67CC1" w:rsidRDefault="00581533" w:rsidP="00581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A67CC1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1.</w:t>
      </w:r>
      <w:r w:rsidRPr="00A67CC1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ab/>
        <w:t>Определение структуры и состава внешней среды организации:</w:t>
      </w:r>
    </w:p>
    <w:p w14:paraId="2B3BF70B" w14:textId="679265D1" w:rsidR="00B667A3" w:rsidRDefault="00B667A3" w:rsidP="00581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Название организации</w:t>
      </w: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Публичное акционерное общество «Мобильные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ТелеСистемы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».</w:t>
      </w:r>
    </w:p>
    <w:p w14:paraId="7D5C039D" w14:textId="77777777" w:rsidR="00B667A3" w:rsidRPr="00B667A3" w:rsidRDefault="00B667A3" w:rsidP="00B6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Основной вид деятельности</w:t>
      </w: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: 61.20 Деятельность в области связи на базе</w:t>
      </w:r>
    </w:p>
    <w:p w14:paraId="23153814" w14:textId="6F85E4B7" w:rsidR="00B667A3" w:rsidRDefault="00B667A3" w:rsidP="00B6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беспроводных технологий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14:paraId="7EA44600" w14:textId="68E2E8AA" w:rsidR="00B667A3" w:rsidRPr="008039F2" w:rsidRDefault="00B667A3" w:rsidP="00B6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Дополнительные виды деятельности</w:t>
      </w:r>
      <w:r w:rsidRPr="008039F2">
        <w:rPr>
          <w:rFonts w:ascii="Times New Roman" w:eastAsia="Times New Roman" w:hAnsi="Times New Roman" w:cs="Times New Roman"/>
          <w:sz w:val="24"/>
          <w:szCs w:val="24"/>
          <w:lang w:bidi="en-US"/>
        </w:rPr>
        <w:t>:</w:t>
      </w:r>
    </w:p>
    <w:p w14:paraId="6404A170" w14:textId="0C02B7BD" w:rsidR="00B667A3" w:rsidRPr="00B667A3" w:rsidRDefault="00B667A3" w:rsidP="00B667A3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41.2 Строительство жилых и нежилых зданий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14:paraId="1F3E0B2B" w14:textId="442E5BDD" w:rsidR="00B667A3" w:rsidRDefault="00B667A3" w:rsidP="00B667A3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41.20 Строительство жилых и нежилых зданий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14:paraId="4186F61E" w14:textId="07F4DCDB" w:rsidR="00B667A3" w:rsidRDefault="00B667A3" w:rsidP="00B667A3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42.21 Строительство инженерных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коммуникаций для водоснабжения и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водоотведения, газоснабжения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14:paraId="57C981E4" w14:textId="25CF8116" w:rsidR="00B667A3" w:rsidRDefault="00B667A3" w:rsidP="00B667A3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42.22.2 Строительство местных линий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электропередачи и связи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14:paraId="2497FFC3" w14:textId="30C8A106" w:rsidR="00B667A3" w:rsidRDefault="00B667A3" w:rsidP="00B667A3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43.2 Производство электромонтажных,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санитарно-технических и прочих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строительно-монтажных работ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14:paraId="1BD6371A" w14:textId="2F5F5C50" w:rsidR="00B667A3" w:rsidRDefault="00B667A3" w:rsidP="00B667A3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43.99.7 Работы по сборке и монтажу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сборных конструкций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14:paraId="786531D1" w14:textId="2E739F70" w:rsidR="00B667A3" w:rsidRDefault="00B667A3" w:rsidP="00B667A3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46.90 Торговля оптовая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неспециализированная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14:paraId="24B855B8" w14:textId="14BEC3B7" w:rsidR="00B667A3" w:rsidRDefault="00B667A3" w:rsidP="00B667A3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61.10 Деятельность в области связи на базе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проводных технологий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14:paraId="7566FB39" w14:textId="54BE8EA3" w:rsidR="00B667A3" w:rsidRDefault="00B667A3" w:rsidP="00B667A3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62.01 Разработка компьютерного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программного обеспечения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14:paraId="2D72F1CF" w14:textId="3638E6BA" w:rsidR="00B667A3" w:rsidRDefault="00B667A3" w:rsidP="00B667A3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62.02 Деятельность консультативная и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работы в области компьютерных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технологий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14:paraId="3FF846E3" w14:textId="18992EDD" w:rsidR="00B667A3" w:rsidRDefault="00B667A3" w:rsidP="00B667A3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64.99 Предоставление прочих финансовых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услуг, кроме услуг по страхованию и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пенсионному обеспечению, не включенных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в другие группировки</w:t>
      </w:r>
    </w:p>
    <w:p w14:paraId="47A7970C" w14:textId="108CD9AB" w:rsidR="00B667A3" w:rsidRDefault="00B667A3" w:rsidP="00B667A3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68.20.2 Аренда и управление собственным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или арендованным нежилым недвижимым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имуществом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14:paraId="06871E69" w14:textId="29CEC229" w:rsidR="00B667A3" w:rsidRDefault="00B667A3" w:rsidP="00B667A3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69.20.2 Деятельность по оказанию услуг в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области бухгалтерского учета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14:paraId="7BFB7270" w14:textId="6ED294E1" w:rsidR="00B667A3" w:rsidRDefault="00B667A3" w:rsidP="00B667A3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70.10.2 Деятельность по управлению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холдинг-компаниями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14:paraId="1FA67546" w14:textId="30822B1D" w:rsidR="00B667A3" w:rsidRDefault="00B667A3" w:rsidP="00B667A3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70.22 Консультирование по вопросам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коммерческой деятельности и управления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14:paraId="0CBCB521" w14:textId="1389353D" w:rsidR="00B667A3" w:rsidRDefault="00B667A3" w:rsidP="00B667A3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73.20.1 Исследование конъюнктуры рынк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а.</w:t>
      </w:r>
    </w:p>
    <w:p w14:paraId="66B3E94A" w14:textId="329115A7" w:rsidR="00B667A3" w:rsidRDefault="00B667A3" w:rsidP="00B667A3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92.23 Деятельность распространителей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B667A3">
        <w:rPr>
          <w:rFonts w:ascii="Times New Roman" w:eastAsia="Times New Roman" w:hAnsi="Times New Roman" w:cs="Times New Roman"/>
          <w:sz w:val="24"/>
          <w:szCs w:val="24"/>
          <w:lang w:bidi="en-US"/>
        </w:rPr>
        <w:t>лотерейных билето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в.</w:t>
      </w:r>
    </w:p>
    <w:p w14:paraId="02F88329" w14:textId="5D2371D0" w:rsidR="00B667A3" w:rsidRDefault="005B2D1A" w:rsidP="005B2D1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Продукция</w:t>
      </w:r>
      <w:r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:</w:t>
      </w:r>
    </w:p>
    <w:p w14:paraId="33D22EE0" w14:textId="09C9B511" w:rsidR="005B2D1A" w:rsidRDefault="005B2D1A" w:rsidP="005B2D1A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Услуги сотовой связи.</w:t>
      </w:r>
    </w:p>
    <w:p w14:paraId="1A341569" w14:textId="3213DE55" w:rsidR="005B2D1A" w:rsidRDefault="005B2D1A" w:rsidP="005B2D1A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Услуги проводной телефонной связи.</w:t>
      </w:r>
    </w:p>
    <w:p w14:paraId="3F452E8F" w14:textId="02BDA3D4" w:rsidR="005B2D1A" w:rsidRDefault="005B2D1A" w:rsidP="005B2D1A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Услуги широкополосного доступа к сети Интернет.</w:t>
      </w:r>
    </w:p>
    <w:p w14:paraId="40429BEF" w14:textId="3E2A08FD" w:rsidR="005B2D1A" w:rsidRDefault="005B2D1A" w:rsidP="005B2D1A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Услуги кабельного и спутникового телевидения.</w:t>
      </w:r>
    </w:p>
    <w:p w14:paraId="6DA7B796" w14:textId="42D81AFA" w:rsidR="005B2D1A" w:rsidRDefault="005B2D1A" w:rsidP="005B2D1A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ИТ-решения в сфере интернета вещей, автоматизации бизнес-процессов, обработки данных и облачных вычислений.</w:t>
      </w:r>
    </w:p>
    <w:p w14:paraId="778FBF6F" w14:textId="700AC60E" w:rsidR="005B2D1A" w:rsidRPr="008039F2" w:rsidRDefault="005B2D1A" w:rsidP="005B2D1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Определение состава внешней среды</w:t>
      </w:r>
      <w:r w:rsidRPr="008039F2">
        <w:rPr>
          <w:rFonts w:ascii="Times New Roman" w:eastAsia="Times New Roman" w:hAnsi="Times New Roman" w:cs="Times New Roman"/>
          <w:sz w:val="24"/>
          <w:szCs w:val="24"/>
          <w:lang w:bidi="en-US"/>
        </w:rPr>
        <w:t>:</w:t>
      </w:r>
    </w:p>
    <w:p w14:paraId="685CF694" w14:textId="50ABD3FC" w:rsidR="005B2D1A" w:rsidRPr="005B2D1A" w:rsidRDefault="005B2D1A" w:rsidP="005B2D1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Внешняя среда – это совокупность различных условий и факторов, которые оказывают прямое или косвенное влияние на деятельность организации. Внешняя среда разделяется на ближнюю (факторы прямого воздействия) и дальнюю (факторы косвенного воздействия). К ближней среде относятся следующие факторы</w:t>
      </w:r>
      <w:r w:rsidRPr="005B2D1A">
        <w:rPr>
          <w:rFonts w:ascii="Times New Roman" w:eastAsia="Times New Roman" w:hAnsi="Times New Roman" w:cs="Times New Roman"/>
          <w:sz w:val="24"/>
          <w:szCs w:val="24"/>
          <w:lang w:bidi="en-US"/>
        </w:rPr>
        <w:t>:</w:t>
      </w:r>
    </w:p>
    <w:p w14:paraId="1BE5D92B" w14:textId="7EE200D2" w:rsidR="005B2D1A" w:rsidRPr="005B2D1A" w:rsidRDefault="005B2D1A" w:rsidP="005B2D1A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Потребители</w:t>
      </w:r>
      <w:r w:rsidR="007B5B9C"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14:paraId="3FDCD8FD" w14:textId="1A02F79D" w:rsidR="005B2D1A" w:rsidRPr="005B2D1A" w:rsidRDefault="005B2D1A" w:rsidP="005B2D1A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Поставщики</w:t>
      </w:r>
      <w:r w:rsidR="007B5B9C"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14:paraId="15D77448" w14:textId="38FB4140" w:rsidR="005B2D1A" w:rsidRPr="007B5B9C" w:rsidRDefault="005B2D1A" w:rsidP="005B2D1A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Конкуренты</w:t>
      </w:r>
      <w:r w:rsidR="007B5B9C"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14:paraId="1B1E7800" w14:textId="2EC6E5A3" w:rsidR="007B5B9C" w:rsidRDefault="007B5B9C" w:rsidP="007B5B9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Для анализа ближней среды используется анализ по 5 силам Портера.</w:t>
      </w:r>
    </w:p>
    <w:p w14:paraId="2FF08A7C" w14:textId="7CA281E0" w:rsidR="007B5B9C" w:rsidRDefault="007B5B9C" w:rsidP="007B5B9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К дальней среде относятся следующие факторы</w:t>
      </w:r>
      <w:r w:rsidRPr="007B5B9C">
        <w:rPr>
          <w:rFonts w:ascii="Times New Roman" w:eastAsia="Times New Roman" w:hAnsi="Times New Roman" w:cs="Times New Roman"/>
          <w:sz w:val="24"/>
          <w:szCs w:val="24"/>
          <w:lang w:bidi="en-US"/>
        </w:rPr>
        <w:t>:</w:t>
      </w:r>
    </w:p>
    <w:p w14:paraId="015D7B3F" w14:textId="3F4680BC" w:rsidR="007B5B9C" w:rsidRDefault="007B5B9C" w:rsidP="007B5B9C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Политика.</w:t>
      </w:r>
    </w:p>
    <w:p w14:paraId="3F4F41FC" w14:textId="0EC57D4C" w:rsidR="007B5B9C" w:rsidRDefault="007B5B9C" w:rsidP="007B5B9C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Экономика.</w:t>
      </w:r>
    </w:p>
    <w:p w14:paraId="25A915A9" w14:textId="49648DA6" w:rsidR="007B5B9C" w:rsidRDefault="007B5B9C" w:rsidP="007B5B9C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Социум.</w:t>
      </w:r>
    </w:p>
    <w:p w14:paraId="319AE642" w14:textId="746D4F25" w:rsidR="007B5B9C" w:rsidRDefault="007B5B9C" w:rsidP="007B5B9C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lastRenderedPageBreak/>
        <w:t>Технологии.</w:t>
      </w:r>
    </w:p>
    <w:p w14:paraId="208226F8" w14:textId="64E40050" w:rsidR="007B5B9C" w:rsidRPr="007B5B9C" w:rsidRDefault="007B5B9C" w:rsidP="007B5B9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Для анализа внешней среды дальней среды используется </w:t>
      </w:r>
      <w:r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PEST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-анализ.</w:t>
      </w:r>
    </w:p>
    <w:p w14:paraId="509CE298" w14:textId="77777777" w:rsidR="00581533" w:rsidRPr="00A67CC1" w:rsidRDefault="00581533" w:rsidP="00581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A67CC1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2.</w:t>
      </w:r>
      <w:r w:rsidRPr="00A67CC1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ab/>
        <w:t>Анализ внешней среды:</w:t>
      </w:r>
    </w:p>
    <w:p w14:paraId="711BA005" w14:textId="02415AC6" w:rsidR="007B5B9C" w:rsidRPr="007B5B9C" w:rsidRDefault="00581533" w:rsidP="007B5B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A67CC1">
        <w:rPr>
          <w:rFonts w:ascii="Times New Roman" w:eastAsia="Times New Roman" w:hAnsi="Times New Roman" w:cs="Times New Roman"/>
          <w:sz w:val="24"/>
          <w:szCs w:val="24"/>
          <w:lang w:bidi="en-US"/>
        </w:rPr>
        <w:t>Определение влияния на организацию нижеперечисленных факторов проводится в трехлетней ретроспективе</w:t>
      </w:r>
      <w:r w:rsidR="00A576C8"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(</w:t>
      </w:r>
      <w:r w:rsidR="003A55BC"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>2019–2021</w:t>
      </w:r>
      <w:r w:rsidR="00A576C8"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>):</w:t>
      </w:r>
    </w:p>
    <w:p w14:paraId="7BBD4DD4" w14:textId="1C57A01E" w:rsidR="00581533" w:rsidRDefault="00581533" w:rsidP="00581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bidi="en-US"/>
        </w:rPr>
      </w:pPr>
      <w:r w:rsidRPr="00A67CC1">
        <w:rPr>
          <w:rFonts w:ascii="Times New Roman" w:eastAsia="Times New Roman" w:hAnsi="Times New Roman" w:cs="Times New Roman"/>
          <w:i/>
          <w:sz w:val="24"/>
          <w:szCs w:val="24"/>
          <w:lang w:bidi="en-US"/>
        </w:rPr>
        <w:t>Политика:</w:t>
      </w:r>
    </w:p>
    <w:p w14:paraId="7C05D431" w14:textId="1EBEDBC8" w:rsidR="001F3EE5" w:rsidRDefault="001F3EE5" w:rsidP="001F3E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Взаимодействие с федеральными органами власти</w:t>
      </w:r>
      <w:r w:rsidRPr="001F3EE5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:</w:t>
      </w:r>
    </w:p>
    <w:p w14:paraId="661FFFFA" w14:textId="5F86921C" w:rsidR="00E306F5" w:rsidRDefault="00C75E1C" w:rsidP="00E306F5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Налогообложение</w:t>
      </w:r>
      <w:r w:rsidR="001F3EE5" w:rsidRPr="001F3EE5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:</w:t>
      </w:r>
      <w:r w:rsidR="001F3EE5" w:rsidRPr="001F3EE5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br/>
      </w:r>
      <w:r w:rsidR="001F3EE5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Выплаченный налог на прибыль в 2019 году</w:t>
      </w:r>
      <w:r w:rsidR="001F3EE5" w:rsidRPr="001F3EE5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: 21631142</w:t>
      </w:r>
      <w:r w:rsidR="001F3EE5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тыс. руб.</w:t>
      </w:r>
      <w:r w:rsidR="001F3EE5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br/>
        <w:t>Выплаченный налог</w:t>
      </w:r>
      <w:r w:rsidR="00E306F5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</w:t>
      </w:r>
      <w:r w:rsidR="001F3EE5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на прибыль в 2020 году</w:t>
      </w:r>
      <w:r w:rsidR="001F3EE5" w:rsidRPr="001F3EE5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: 14365928</w:t>
      </w:r>
      <w:r w:rsidR="001F3EE5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тыс. руб.</w:t>
      </w:r>
      <w:r w:rsidR="001F3EE5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br/>
        <w:t>Выплаченный налог</w:t>
      </w:r>
      <w:r w:rsidR="00E306F5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</w:t>
      </w:r>
      <w:r w:rsidR="001F3EE5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на прибыль в 2021 году</w:t>
      </w:r>
      <w:r w:rsidR="001F3EE5" w:rsidRPr="001F3EE5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: </w:t>
      </w:r>
      <w:r w:rsidR="00E306F5" w:rsidRPr="00E306F5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16967371 </w:t>
      </w:r>
      <w:r w:rsidR="00E306F5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тыс. руб.</w:t>
      </w:r>
    </w:p>
    <w:p w14:paraId="1B6EA7D4" w14:textId="361BB124" w:rsidR="00E306F5" w:rsidRDefault="00E306F5" w:rsidP="00E306F5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Участие в национальном проекте «Цифровая экономика Российской Федерации».</w:t>
      </w:r>
    </w:p>
    <w:p w14:paraId="410A0790" w14:textId="3A36BDB8" w:rsidR="00E306F5" w:rsidRDefault="00E306F5" w:rsidP="00E306F5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Участие волонтёров – сотрудников МТС в проекте «Добровольцы России».</w:t>
      </w:r>
    </w:p>
    <w:p w14:paraId="6859AB95" w14:textId="01362B30" w:rsidR="00E306F5" w:rsidRDefault="00E306F5" w:rsidP="00E306F5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Участие в федераль</w:t>
      </w:r>
      <w:r w:rsidR="00EA52AF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ной программе «Умный город» и национальном проекте «Жильё и городская среда».</w:t>
      </w:r>
    </w:p>
    <w:p w14:paraId="16239081" w14:textId="4CDFE271" w:rsidR="00065C2A" w:rsidRDefault="00065C2A" w:rsidP="00E306F5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Обеспечение информационной безопасности объектов критической информационной структуры в соответствии с ФЗ-187.</w:t>
      </w:r>
    </w:p>
    <w:p w14:paraId="1A3921CC" w14:textId="3C1725A3" w:rsidR="00EA52AF" w:rsidRDefault="00EA52AF" w:rsidP="00EA52A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Взаимодействие с региональными органами власти</w:t>
      </w:r>
      <w:r w:rsidRPr="00EA52AF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:</w:t>
      </w:r>
    </w:p>
    <w:p w14:paraId="5F0BBA26" w14:textId="30D51DCC" w:rsidR="00EA52AF" w:rsidRDefault="00EA52AF" w:rsidP="00EA52AF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Цифровизация региона.</w:t>
      </w:r>
    </w:p>
    <w:p w14:paraId="7AE4F4A5" w14:textId="1F95CF34" w:rsidR="00EA52AF" w:rsidRDefault="00EA52AF" w:rsidP="00EA52AF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Обеспечение природно-техногенной безопасности.</w:t>
      </w:r>
    </w:p>
    <w:p w14:paraId="513AD16F" w14:textId="71A7593B" w:rsidR="00EA52AF" w:rsidRDefault="00EA52AF" w:rsidP="00EA52AF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Улучшение качества связи на линиях ОАО «РЖД».</w:t>
      </w:r>
    </w:p>
    <w:p w14:paraId="070CC41D" w14:textId="735CDC8E" w:rsidR="00065C2A" w:rsidRPr="00065C2A" w:rsidRDefault="00EA52AF" w:rsidP="00065C2A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Реализация проектов по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геоаналитике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</w:t>
      </w:r>
      <w:r w:rsidR="00065C2A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в период пандемии.</w:t>
      </w:r>
    </w:p>
    <w:p w14:paraId="6B2CF12D" w14:textId="4CB28311" w:rsidR="00EA52AF" w:rsidRDefault="00EA52AF" w:rsidP="00EA52A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Взаимодействие с </w:t>
      </w:r>
      <w:r w:rsidR="00065C2A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местными органами власти</w:t>
      </w:r>
      <w:r w:rsidR="00065C2A" w:rsidRPr="00065C2A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:</w:t>
      </w:r>
    </w:p>
    <w:p w14:paraId="775AF871" w14:textId="52678093" w:rsidR="00065C2A" w:rsidRDefault="00065C2A" w:rsidP="00065C2A">
      <w:pPr>
        <w:pStyle w:val="a3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Земельные вопросы.</w:t>
      </w:r>
    </w:p>
    <w:p w14:paraId="1D23DEB1" w14:textId="0046F644" w:rsidR="00065C2A" w:rsidRDefault="00065C2A" w:rsidP="00065C2A">
      <w:pPr>
        <w:pStyle w:val="a3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Вопросы по развёртыванию сетей и расширени</w:t>
      </w:r>
      <w:r w:rsidR="00C75E1C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ю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покрытия.</w:t>
      </w:r>
    </w:p>
    <w:p w14:paraId="24199917" w14:textId="5B246110" w:rsidR="00065C2A" w:rsidRDefault="00065C2A" w:rsidP="00065C2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ПАО «МТС» также предоставляет услуги, созданные специально для органов государственной власти</w:t>
      </w:r>
      <w:r w:rsidRPr="00065C2A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:</w:t>
      </w:r>
    </w:p>
    <w:p w14:paraId="1DAC8F89" w14:textId="394D2151" w:rsidR="00065C2A" w:rsidRDefault="00065C2A" w:rsidP="00065C2A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065C2A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Организация межведомственного информационного взаимодействия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.</w:t>
      </w:r>
    </w:p>
    <w:p w14:paraId="5F03FD7C" w14:textId="66E273AD" w:rsidR="00065C2A" w:rsidRDefault="00065C2A" w:rsidP="00065C2A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065C2A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Защищ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ё</w:t>
      </w:r>
      <w:r w:rsidRPr="00065C2A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нный электронный документооборот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.</w:t>
      </w:r>
    </w:p>
    <w:p w14:paraId="468BE0BF" w14:textId="1E90A350" w:rsidR="00065C2A" w:rsidRDefault="00065C2A" w:rsidP="00065C2A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065C2A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Разработка целевых программ информатизации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.</w:t>
      </w:r>
    </w:p>
    <w:p w14:paraId="2DD5E990" w14:textId="45919903" w:rsidR="00065C2A" w:rsidRDefault="00065C2A" w:rsidP="00065C2A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065C2A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Организация работы ведомств в режиме «одного окна»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.</w:t>
      </w:r>
    </w:p>
    <w:p w14:paraId="7DA7D99C" w14:textId="225D2D92" w:rsidR="00065C2A" w:rsidRDefault="00065C2A" w:rsidP="00065C2A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065C2A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Создание и построение центров обработки данных (ЦОД)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.</w:t>
      </w:r>
    </w:p>
    <w:p w14:paraId="6BAA0F01" w14:textId="5789A89F" w:rsidR="00065C2A" w:rsidRDefault="00C75E1C" w:rsidP="00065C2A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75E1C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Системы бюджетного управления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.</w:t>
      </w:r>
    </w:p>
    <w:p w14:paraId="5716B513" w14:textId="002F2A58" w:rsidR="00C75E1C" w:rsidRDefault="00C75E1C" w:rsidP="00C75E1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Изменения законодательства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  <w:t>:</w:t>
      </w:r>
    </w:p>
    <w:p w14:paraId="3C069047" w14:textId="6F91B0D3" w:rsidR="00C75E1C" w:rsidRDefault="00C75E1C" w:rsidP="00C75E1C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За период </w:t>
      </w:r>
      <w:r w:rsidR="003A55BC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2019–2021 гг.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был принят ряд законов, направленных на регулирование цифровой трансформации общественных отношений, в частности</w:t>
      </w:r>
      <w:r w:rsidRPr="00C75E1C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:</w:t>
      </w:r>
    </w:p>
    <w:p w14:paraId="750CED6F" w14:textId="4B483CCC" w:rsidR="00C75E1C" w:rsidRDefault="00C75E1C" w:rsidP="00C75E1C">
      <w:pPr>
        <w:pStyle w:val="a3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Введение электронных трудовых книжек.</w:t>
      </w:r>
    </w:p>
    <w:p w14:paraId="2D51455D" w14:textId="339B8F8B" w:rsidR="00C75E1C" w:rsidRDefault="00C75E1C" w:rsidP="00C75E1C">
      <w:pPr>
        <w:pStyle w:val="a3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Привлечение инвестиций с использование инвестиционных платформ.</w:t>
      </w:r>
    </w:p>
    <w:p w14:paraId="51BCF35A" w14:textId="758F9F1C" w:rsidR="00C75E1C" w:rsidRDefault="00C75E1C" w:rsidP="00C75E1C">
      <w:pPr>
        <w:pStyle w:val="a3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Совершенствование законодательства об электронной подписи.</w:t>
      </w:r>
    </w:p>
    <w:p w14:paraId="21D7E917" w14:textId="4829D40E" w:rsidR="00C75E1C" w:rsidRDefault="00C75E1C" w:rsidP="00C75E1C">
      <w:pPr>
        <w:pStyle w:val="a3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Закрепление в ГК РФ цифровых прав и автоматизированных договоров.</w:t>
      </w:r>
    </w:p>
    <w:p w14:paraId="07B8EADE" w14:textId="12D992AF" w:rsidR="00C75E1C" w:rsidRDefault="00C75E1C" w:rsidP="00C75E1C">
      <w:pPr>
        <w:pStyle w:val="a3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геораспределённой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катастрофоустойчивой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системы дата-центров.</w:t>
      </w:r>
    </w:p>
    <w:p w14:paraId="3FDCF7A6" w14:textId="1E1AC586" w:rsidR="00C75E1C" w:rsidRDefault="00C75E1C" w:rsidP="00C75E1C">
      <w:pPr>
        <w:pStyle w:val="a3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Обеспечение развития </w:t>
      </w:r>
      <w:r w:rsidR="008D5F4A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образовательных и научно-методических практик подготовки специалистов в сфере информационных и сквозных технологий.</w:t>
      </w:r>
    </w:p>
    <w:p w14:paraId="041865D3" w14:textId="23DC1C2F" w:rsidR="008D5F4A" w:rsidRPr="00640A4B" w:rsidRDefault="008D5F4A" w:rsidP="008D5F4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Государственное регулирование в отрасли</w:t>
      </w:r>
      <w:r w:rsidRPr="00640A4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:</w:t>
      </w:r>
    </w:p>
    <w:p w14:paraId="2974CB9E" w14:textId="4FFBA77F" w:rsidR="008D5F4A" w:rsidRDefault="008D5F4A" w:rsidP="008D5F4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Деятельность операторов связи, включая ПАО «МТС» регулируется федеральным законом №126 «О связи». За период </w:t>
      </w:r>
      <w:r w:rsidR="003A55BC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2019–2021 гг.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в данный ФЗ были внесены изменения следующими документами</w:t>
      </w:r>
      <w:r w:rsidRPr="008D5F4A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:</w:t>
      </w:r>
    </w:p>
    <w:p w14:paraId="2733A7BF" w14:textId="77777777" w:rsidR="000A0208" w:rsidRDefault="008D5F4A" w:rsidP="008D5F4A">
      <w:pPr>
        <w:pStyle w:val="a3"/>
        <w:numPr>
          <w:ilvl w:val="0"/>
          <w:numId w:val="42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0A0208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2019 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год</w:t>
      </w:r>
      <w:r w:rsidRPr="000A0208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: 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ФЗ №90 (01.05.2019), ФЗ</w:t>
      </w:r>
      <w:r w:rsidR="000A0208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№131 (06.06.2019), ФЗ №478 (21.12.2019).</w:t>
      </w:r>
    </w:p>
    <w:p w14:paraId="44E4B412" w14:textId="77777777" w:rsidR="000A0208" w:rsidRDefault="000A0208" w:rsidP="008D5F4A">
      <w:pPr>
        <w:pStyle w:val="a3"/>
        <w:numPr>
          <w:ilvl w:val="0"/>
          <w:numId w:val="42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2020 год</w:t>
      </w:r>
      <w:r w:rsidRPr="000A0208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: 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ФЗ №42 (01.03.2020), ФЗ №109 (07.04.2020), ФЗ №110 (07.04.2020), ФЗ №338 (15.10.2020), ФЗ №429 (08.12.2020), ФЗ №488 (30.12.2020), ФЗ №533 (30.12.2020), ФЗ №535 (30.12.2020).</w:t>
      </w:r>
    </w:p>
    <w:p w14:paraId="252A8826" w14:textId="77777777" w:rsidR="000A0208" w:rsidRDefault="000A0208" w:rsidP="008D5F4A">
      <w:pPr>
        <w:pStyle w:val="a3"/>
        <w:numPr>
          <w:ilvl w:val="0"/>
          <w:numId w:val="42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lastRenderedPageBreak/>
        <w:t>2021 год</w:t>
      </w:r>
      <w:r w:rsidRPr="000A0208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: 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ФЗ №44 (09.03.2021), ФЗ №120 (30.04.2021), ФЗ №170 (11.06.2021), ФЗ №319 (02.07.2021), ФЗ №331 (02.07.2021), ФЗ №465 (30.12.2021).</w:t>
      </w:r>
    </w:p>
    <w:p w14:paraId="5F659E66" w14:textId="77777777" w:rsidR="000A0208" w:rsidRPr="000A0208" w:rsidRDefault="000A0208" w:rsidP="000A020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Государственное регулирование конкуренции</w:t>
      </w:r>
      <w:r w:rsidRPr="000A0208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:</w:t>
      </w:r>
    </w:p>
    <w:p w14:paraId="352976FB" w14:textId="77777777" w:rsidR="000A0208" w:rsidRDefault="000A0208" w:rsidP="000A020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Осуществлением регулирования конкуренции и ценообразования продуктов организации занимается Федеральная Антимонопольная Служба (ФАС). Правовой основой данного регулирования является ФЗ №126 «О связи».</w:t>
      </w:r>
    </w:p>
    <w:p w14:paraId="5886D3D2" w14:textId="2A2955C5" w:rsidR="008D5F4A" w:rsidRPr="000A0208" w:rsidRDefault="009A785B" w:rsidP="000A020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Вывод</w:t>
      </w:r>
      <w:r w:rsidRPr="009A785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: 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наиболее значимым фактором взаимодействия с органами власти является государственное регулирование в отрасли и конкуренции, так как эти факторы создают основу для взаимодействия со всеми участниками рынка связи.</w:t>
      </w:r>
    </w:p>
    <w:p w14:paraId="731A37EF" w14:textId="0ECC3C96" w:rsidR="00581533" w:rsidRDefault="00581533" w:rsidP="00581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bidi="en-US"/>
        </w:rPr>
      </w:pPr>
      <w:r w:rsidRPr="00A67CC1">
        <w:rPr>
          <w:rFonts w:ascii="Times New Roman" w:eastAsia="Times New Roman" w:hAnsi="Times New Roman" w:cs="Times New Roman"/>
          <w:i/>
          <w:sz w:val="24"/>
          <w:szCs w:val="24"/>
          <w:lang w:bidi="en-US"/>
        </w:rPr>
        <w:t>Экономика: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260"/>
        <w:gridCol w:w="1410"/>
        <w:gridCol w:w="1410"/>
        <w:gridCol w:w="3675"/>
      </w:tblGrid>
      <w:tr w:rsidR="009A785B" w:rsidRPr="009A785B" w14:paraId="310A6777" w14:textId="77777777" w:rsidTr="009A785B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D2B3F" w14:textId="77777777" w:rsidR="009A785B" w:rsidRPr="009A785B" w:rsidRDefault="009A785B" w:rsidP="009A78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A78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Показатель</w:t>
            </w:r>
            <w:r w:rsidRPr="009A78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0EC5A" w14:textId="77777777" w:rsidR="009A785B" w:rsidRPr="009A785B" w:rsidRDefault="009A785B" w:rsidP="009A78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A78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2019 год</w:t>
            </w:r>
            <w:r w:rsidRPr="009A78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7F1B7" w14:textId="77777777" w:rsidR="009A785B" w:rsidRPr="009A785B" w:rsidRDefault="009A785B" w:rsidP="009A78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A78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2020 год</w:t>
            </w:r>
            <w:r w:rsidRPr="009A78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B0DC16" w14:textId="77777777" w:rsidR="009A785B" w:rsidRPr="009A785B" w:rsidRDefault="009A785B" w:rsidP="009A78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A78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2021 год</w:t>
            </w:r>
            <w:r w:rsidRPr="009A78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F81354" w14:textId="77777777" w:rsidR="009A785B" w:rsidRPr="009A785B" w:rsidRDefault="009A785B" w:rsidP="009A78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A78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Влияние</w:t>
            </w:r>
            <w:r w:rsidRPr="009A78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785B" w:rsidRPr="009A785B" w14:paraId="38E9078F" w14:textId="77777777" w:rsidTr="009A785B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301412" w14:textId="77777777" w:rsidR="009A785B" w:rsidRPr="009A785B" w:rsidRDefault="009A785B" w:rsidP="009A78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A7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ВВП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F0090" w14:textId="77777777" w:rsidR="009A785B" w:rsidRPr="009A785B" w:rsidRDefault="009A785B" w:rsidP="009A78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A7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4193,5 млрд руб.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4537E7" w14:textId="77777777" w:rsidR="009A785B" w:rsidRPr="009A785B" w:rsidRDefault="009A785B" w:rsidP="009A78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A7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4686,1 млрд руб.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7E7D7A" w14:textId="77777777" w:rsidR="009A785B" w:rsidRPr="009A785B" w:rsidRDefault="009A785B" w:rsidP="009A78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A7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3449,2 млрд руб.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AAEDA3" w14:textId="77777777" w:rsidR="00CA63CE" w:rsidRDefault="009A785B" w:rsidP="00CA63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Рост ВВП свидетельствует о </w:t>
            </w:r>
            <w:r w:rsidR="00CA6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росте оказываемого числа различных услуг, в том числе услуг беспроводной связи, что также свидетельствует об увеличении спроса на них.</w:t>
            </w:r>
          </w:p>
          <w:p w14:paraId="0EA05BA8" w14:textId="1ACA1CE1" w:rsidR="00CA63CE" w:rsidRPr="009A785B" w:rsidRDefault="00CA63CE" w:rsidP="00CA63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Снижение ВВП свидетельствует об обратном – снижение количества оказываемых услуг и следовательно снижение спроса на них.</w:t>
            </w:r>
          </w:p>
        </w:tc>
      </w:tr>
      <w:tr w:rsidR="009A785B" w:rsidRPr="009A785B" w14:paraId="1BE91597" w14:textId="77777777" w:rsidTr="009A785B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3D662" w14:textId="77777777" w:rsidR="009A785B" w:rsidRPr="009A785B" w:rsidRDefault="009A785B" w:rsidP="009A78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A7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Безработица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D45AD8" w14:textId="77777777" w:rsidR="009A785B" w:rsidRPr="009A785B" w:rsidRDefault="009A785B" w:rsidP="009A78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A7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 млн человек (4,6%)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E0A3B" w14:textId="77777777" w:rsidR="009A785B" w:rsidRPr="009A785B" w:rsidRDefault="009A785B" w:rsidP="009A78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A7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 млн человек (5,9%)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B3359" w14:textId="77777777" w:rsidR="009A785B" w:rsidRPr="009A785B" w:rsidRDefault="009A785B" w:rsidP="009A78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A7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 млн человек (4,3%)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C2A7A" w14:textId="4503830B" w:rsidR="00CA63CE" w:rsidRDefault="00CA63CE" w:rsidP="009A78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Повышение уровня безработицы может привести к падению дохода у населения и, следовательно, к понижению спроса на услуги беспроводной связи.</w:t>
            </w:r>
          </w:p>
          <w:p w14:paraId="4701676A" w14:textId="7D51F042" w:rsidR="009A785B" w:rsidRPr="009A785B" w:rsidRDefault="00CA63CE" w:rsidP="009A78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Снижение уровня безработицы может привести к повышению дохода у населения и, следовательно, к повышению спроса на услуги беспроводной связи.</w:t>
            </w:r>
          </w:p>
        </w:tc>
      </w:tr>
      <w:tr w:rsidR="009A785B" w:rsidRPr="009A785B" w14:paraId="1BCFDD50" w14:textId="77777777" w:rsidTr="009A785B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EE11A7" w14:textId="77777777" w:rsidR="009A785B" w:rsidRPr="009A785B" w:rsidRDefault="009A785B" w:rsidP="009A78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A7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Инфляция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81EAA" w14:textId="77777777" w:rsidR="009A785B" w:rsidRPr="009A785B" w:rsidRDefault="009A785B" w:rsidP="009A78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A7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3%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2D4849" w14:textId="77777777" w:rsidR="009A785B" w:rsidRPr="009A785B" w:rsidRDefault="009A785B" w:rsidP="009A78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A7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4,9%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ADAE9" w14:textId="77777777" w:rsidR="009A785B" w:rsidRPr="009A785B" w:rsidRDefault="009A785B" w:rsidP="009A78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A7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8,4%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770E8" w14:textId="77777777" w:rsidR="009A785B" w:rsidRDefault="00CA63CE" w:rsidP="009A78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Инфляция напрямую влияет на покупательскую способность населения. При повышении инфляции потребители будут искать более дешёвые альтернативы продукты организации, а стоимость поставки сырья может повыситься, следовательно повысятся расходы организации и снизится чистая прибыль.</w:t>
            </w:r>
          </w:p>
          <w:p w14:paraId="0731C7EF" w14:textId="7D9AA908" w:rsidR="00D86DDB" w:rsidRPr="009A785B" w:rsidRDefault="00D86DDB" w:rsidP="009A78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понижении инфляции потребитель может задуматься о покупке более дорогого продукта компании, а стоимость поставки сырья может снизиться, что повысит чистую прибыль организации.</w:t>
            </w:r>
          </w:p>
        </w:tc>
      </w:tr>
    </w:tbl>
    <w:p w14:paraId="4C3D0E0C" w14:textId="32891E73" w:rsidR="009A785B" w:rsidRDefault="009A785B" w:rsidP="003B5F80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</w:p>
    <w:tbl>
      <w:tblPr>
        <w:tblW w:w="9072" w:type="dxa"/>
        <w:tblLook w:val="04A0" w:firstRow="1" w:lastRow="0" w:firstColumn="1" w:lastColumn="0" w:noHBand="0" w:noVBand="1"/>
      </w:tblPr>
      <w:tblGrid>
        <w:gridCol w:w="5245"/>
        <w:gridCol w:w="1276"/>
        <w:gridCol w:w="1276"/>
        <w:gridCol w:w="1275"/>
      </w:tblGrid>
      <w:tr w:rsidR="008B3EE2" w:rsidRPr="008B3EE2" w14:paraId="448553B4" w14:textId="77777777" w:rsidTr="003F71D3">
        <w:trPr>
          <w:trHeight w:val="409"/>
        </w:trPr>
        <w:tc>
          <w:tcPr>
            <w:tcW w:w="90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E120" w14:textId="77777777" w:rsidR="008B3EE2" w:rsidRPr="008B3EE2" w:rsidRDefault="008B3EE2" w:rsidP="008B3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Инвестиции и ввод основных фондов операторов связи</w:t>
            </w:r>
          </w:p>
        </w:tc>
      </w:tr>
      <w:tr w:rsidR="008B3EE2" w:rsidRPr="008B3EE2" w14:paraId="2E58049B" w14:textId="77777777" w:rsidTr="003F71D3">
        <w:trPr>
          <w:trHeight w:val="192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FA61" w14:textId="77777777" w:rsidR="008B3EE2" w:rsidRPr="008B3EE2" w:rsidRDefault="008B3EE2" w:rsidP="008B3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3ADA" w14:textId="77777777" w:rsidR="008B3EE2" w:rsidRPr="008B3EE2" w:rsidRDefault="008B3EE2" w:rsidP="008B3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67FB" w14:textId="77777777" w:rsidR="008B3EE2" w:rsidRPr="008B3EE2" w:rsidRDefault="008B3EE2" w:rsidP="008B3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D728" w14:textId="77777777" w:rsidR="008B3EE2" w:rsidRPr="008B3EE2" w:rsidRDefault="008B3EE2" w:rsidP="008B3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B3EE2" w:rsidRPr="008B3EE2" w14:paraId="74669CBB" w14:textId="77777777" w:rsidTr="003F71D3">
        <w:trPr>
          <w:trHeight w:val="99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57771" w14:textId="77777777" w:rsidR="008B3EE2" w:rsidRPr="008B3EE2" w:rsidRDefault="008B3EE2" w:rsidP="008B3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показателей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3E851" w14:textId="77777777" w:rsidR="008B3EE2" w:rsidRPr="008B3EE2" w:rsidRDefault="008B3EE2" w:rsidP="008B3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2019 год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44317" w14:textId="77777777" w:rsidR="008B3EE2" w:rsidRPr="008B3EE2" w:rsidRDefault="008B3EE2" w:rsidP="008B3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2020 год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ECE21" w14:textId="5A663E43" w:rsidR="008B3EE2" w:rsidRPr="008B3EE2" w:rsidRDefault="003F71D3" w:rsidP="008B3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7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2021 год</w:t>
            </w:r>
          </w:p>
        </w:tc>
      </w:tr>
      <w:tr w:rsidR="003F71D3" w:rsidRPr="008B3EE2" w14:paraId="1CBE510A" w14:textId="77777777" w:rsidTr="004002E5">
        <w:trPr>
          <w:trHeight w:val="507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9C7C" w14:textId="77777777" w:rsidR="003F71D3" w:rsidRPr="008B3EE2" w:rsidRDefault="003F71D3" w:rsidP="003F71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Капитальные вложения - всего, млн. руб.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5AFFEA" w14:textId="77777777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418 800,6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1876B2" w14:textId="77777777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405 472,3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8E5778" w14:textId="52BC7941" w:rsidR="003F71D3" w:rsidRPr="008B3EE2" w:rsidRDefault="003F71D3" w:rsidP="003F7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457 461</w:t>
            </w: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,3</w:t>
            </w:r>
          </w:p>
        </w:tc>
      </w:tr>
      <w:tr w:rsidR="003F71D3" w:rsidRPr="008B3EE2" w14:paraId="6F4E0DF7" w14:textId="77777777" w:rsidTr="003F71D3">
        <w:trPr>
          <w:trHeight w:val="315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BA2F" w14:textId="77777777" w:rsidR="003F71D3" w:rsidRPr="008B3EE2" w:rsidRDefault="003F71D3" w:rsidP="003F7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76D7" w14:textId="77777777" w:rsidR="003F71D3" w:rsidRPr="008B3EE2" w:rsidRDefault="003F71D3" w:rsidP="003F7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E0D0" w14:textId="77777777" w:rsidR="003F71D3" w:rsidRPr="008B3EE2" w:rsidRDefault="003F71D3" w:rsidP="003F7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A42B7" w14:textId="77095095" w:rsidR="003F71D3" w:rsidRPr="008B3EE2" w:rsidRDefault="003F71D3" w:rsidP="003F7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71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F71D3" w:rsidRPr="008B3EE2" w14:paraId="63EEB832" w14:textId="77777777" w:rsidTr="003F71D3">
        <w:trPr>
          <w:trHeight w:val="315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B25F" w14:textId="77777777" w:rsidR="003F71D3" w:rsidRPr="008B3EE2" w:rsidRDefault="003F71D3" w:rsidP="003F71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Ввод в действие мощностей: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A0E2" w14:textId="77777777" w:rsidR="003F71D3" w:rsidRPr="008B3EE2" w:rsidRDefault="003F71D3" w:rsidP="003F7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C4AF" w14:textId="77777777" w:rsidR="003F71D3" w:rsidRPr="008B3EE2" w:rsidRDefault="003F71D3" w:rsidP="003F7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4B75" w14:textId="39C459B3" w:rsidR="003F71D3" w:rsidRPr="008B3EE2" w:rsidRDefault="003F71D3" w:rsidP="003F7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71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F71D3" w:rsidRPr="008B3EE2" w14:paraId="636C89CF" w14:textId="77777777" w:rsidTr="003F71D3">
        <w:trPr>
          <w:trHeight w:val="315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3732" w14:textId="77777777" w:rsidR="003F71D3" w:rsidRPr="008B3EE2" w:rsidRDefault="003F71D3" w:rsidP="003F7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городские АТС, тыс. номеров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DB5B9E" w14:textId="77777777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448,4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6B02A" w14:textId="77777777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267,2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10729" w14:textId="153D84F8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71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103,6</w:t>
            </w:r>
          </w:p>
        </w:tc>
      </w:tr>
      <w:tr w:rsidR="003F71D3" w:rsidRPr="008B3EE2" w14:paraId="402BCAF5" w14:textId="77777777" w:rsidTr="003F71D3">
        <w:trPr>
          <w:trHeight w:val="315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A2D7" w14:textId="77777777" w:rsidR="003F71D3" w:rsidRPr="008B3EE2" w:rsidRDefault="003F71D3" w:rsidP="003F7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сельские АТС, тыс. номеров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46E75F" w14:textId="77777777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271C79" w14:textId="77777777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C3C8D" w14:textId="772D7B71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71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15,9</w:t>
            </w:r>
          </w:p>
        </w:tc>
      </w:tr>
      <w:tr w:rsidR="003F71D3" w:rsidRPr="008B3EE2" w14:paraId="6BFEFFD7" w14:textId="77777777" w:rsidTr="003F71D3">
        <w:trPr>
          <w:trHeight w:val="315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FBC2" w14:textId="77777777" w:rsidR="003F71D3" w:rsidRPr="008B3EE2" w:rsidRDefault="003F71D3" w:rsidP="003F7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подвижная радиотелефон. связь, тыс. номеров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682AC0" w14:textId="77777777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22 889,7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CE988" w14:textId="77777777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21 340,9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7E1D1" w14:textId="4EC49A17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71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1 901,0</w:t>
            </w:r>
          </w:p>
        </w:tc>
      </w:tr>
      <w:tr w:rsidR="003F71D3" w:rsidRPr="008B3EE2" w14:paraId="262841CA" w14:textId="77777777" w:rsidTr="003F71D3">
        <w:trPr>
          <w:trHeight w:val="315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D10B" w14:textId="77777777" w:rsidR="003F71D3" w:rsidRPr="008B3EE2" w:rsidRDefault="003F71D3" w:rsidP="003F7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радиорелейные линии связи, км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C5693C" w14:textId="77777777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88 125,6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6325A0" w14:textId="77777777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61 325,2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A7244C" w14:textId="3D7C8B2D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71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84 624,0</w:t>
            </w:r>
          </w:p>
        </w:tc>
      </w:tr>
      <w:tr w:rsidR="003F71D3" w:rsidRPr="008B3EE2" w14:paraId="402D3106" w14:textId="77777777" w:rsidTr="003F71D3">
        <w:trPr>
          <w:trHeight w:val="315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B57A" w14:textId="77777777" w:rsidR="003F71D3" w:rsidRPr="008B3EE2" w:rsidRDefault="003F71D3" w:rsidP="003F7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радиовещательные станции, кВт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EF406" w14:textId="77777777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51,9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143077" w14:textId="77777777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276,6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43E77" w14:textId="4683D11F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71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206,3</w:t>
            </w:r>
          </w:p>
        </w:tc>
      </w:tr>
      <w:tr w:rsidR="003F71D3" w:rsidRPr="008B3EE2" w14:paraId="58D931B8" w14:textId="77777777" w:rsidTr="003F71D3">
        <w:trPr>
          <w:trHeight w:val="315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8C32" w14:textId="77777777" w:rsidR="003F71D3" w:rsidRPr="008B3EE2" w:rsidRDefault="003F71D3" w:rsidP="003F7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телевизионные станции, штук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152BE9" w14:textId="77777777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426A00" w14:textId="77777777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E97278" w14:textId="25D0019B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71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26,0</w:t>
            </w:r>
          </w:p>
        </w:tc>
      </w:tr>
      <w:tr w:rsidR="003F71D3" w:rsidRPr="008B3EE2" w14:paraId="34695EE4" w14:textId="77777777" w:rsidTr="003F71D3">
        <w:trPr>
          <w:trHeight w:val="315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54EAA" w14:textId="77777777" w:rsidR="003F71D3" w:rsidRPr="008B3EE2" w:rsidRDefault="003F71D3" w:rsidP="003F7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телевизионные передатчики, штук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B79C09" w14:textId="77777777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572,0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E9DBA9" w14:textId="77777777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363,0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9CCCCA" w14:textId="4C909166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71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342,0</w:t>
            </w:r>
          </w:p>
        </w:tc>
      </w:tr>
      <w:tr w:rsidR="003F71D3" w:rsidRPr="008B3EE2" w14:paraId="02280C3E" w14:textId="77777777" w:rsidTr="003F71D3">
        <w:trPr>
          <w:trHeight w:val="315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0DD2" w14:textId="77777777" w:rsidR="003F71D3" w:rsidRPr="008B3EE2" w:rsidRDefault="003F71D3" w:rsidP="003F7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спутниковые наземные станции, штук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A10596" w14:textId="77777777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1 939,0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00C3B" w14:textId="77777777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3 938,0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C20ADF" w14:textId="2883DB8E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71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2 278,0</w:t>
            </w:r>
          </w:p>
        </w:tc>
      </w:tr>
      <w:tr w:rsidR="003F71D3" w:rsidRPr="008B3EE2" w14:paraId="5707DA4F" w14:textId="77777777" w:rsidTr="003F71D3">
        <w:trPr>
          <w:trHeight w:val="315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6A7B" w14:textId="77777777" w:rsidR="003F71D3" w:rsidRPr="008B3EE2" w:rsidRDefault="003F71D3" w:rsidP="003F7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маломощные ретрансляторы УКВ, комплектов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83E738" w14:textId="77777777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4A4DD2" w14:textId="77777777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107,0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986282" w14:textId="12FB6A27" w:rsidR="003F71D3" w:rsidRPr="008B3EE2" w:rsidRDefault="003F71D3" w:rsidP="003F7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71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19,0</w:t>
            </w:r>
          </w:p>
        </w:tc>
      </w:tr>
    </w:tbl>
    <w:p w14:paraId="6FA99834" w14:textId="77777777" w:rsidR="008B3EE2" w:rsidRDefault="008B3EE2" w:rsidP="008B3E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</w:pPr>
    </w:p>
    <w:p w14:paraId="3CB8ECE5" w14:textId="5581CD30" w:rsidR="008039F2" w:rsidRDefault="008039F2" w:rsidP="008B3E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  <w:t>C</w:t>
      </w:r>
      <w:r w:rsidRPr="008039F2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2019 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по 2020 год наблюдался рост ВВП, а в 2021 году произошёл его заметный спад, что свидетельствует о том, что произошёл спад спроса на услуги, в том числе на услуги мобильной связи.</w:t>
      </w:r>
    </w:p>
    <w:p w14:paraId="5D910B76" w14:textId="77777777" w:rsidR="008039F2" w:rsidRDefault="008039F2" w:rsidP="00581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В 2020 году произошёл рост безработицы почти на миллион человек, что свидетельствует об экономическом спаде, повлекшим за собой сокращение рабочих мест во многих организациях.</w:t>
      </w:r>
    </w:p>
    <w:p w14:paraId="118A60AD" w14:textId="43A89BAC" w:rsidR="008039F2" w:rsidRPr="008039F2" w:rsidRDefault="008039F2" w:rsidP="00581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В 2021 году произошёл рост инфляции почти на 4</w:t>
      </w:r>
      <w:r w:rsidRPr="003B5F80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%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, </w:t>
      </w:r>
      <w:r w:rsidR="003B5F80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что свидетельствует об обесценивании денег </w:t>
      </w:r>
      <w:r w:rsidR="003A55BC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и, следовательно,</w:t>
      </w:r>
      <w:r w:rsidR="003B5F80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снижении их покупательной способности. Это может негативно повлиять на прибыль организации, так как покупатели будут отказываться от более дорогих товаров и искать их дешёвые альтернативы.</w:t>
      </w:r>
    </w:p>
    <w:p w14:paraId="6988A2A5" w14:textId="726FF7CC" w:rsidR="00D86DDB" w:rsidRDefault="00D86DDB" w:rsidP="00581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В 2021 году было предложено распространить на операторов связи налоговый вычет на инвестиции в сети. Вместе с другими мерами стимулирования данный вычет позволит построить на </w:t>
      </w:r>
      <w:r w:rsidR="003A55BC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10–15</w:t>
      </w:r>
      <w:r w:rsidRPr="00D86DD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% 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больше инфраструктуры в рамках запланированного бюджета.</w:t>
      </w:r>
    </w:p>
    <w:p w14:paraId="04A02A3C" w14:textId="77777777" w:rsidR="00D86DDB" w:rsidRDefault="00D86DDB" w:rsidP="00581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Среди других средств поддержки операторов связи были предложены</w:t>
      </w:r>
      <w:r w:rsidRPr="00D86DD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:</w:t>
      </w:r>
    </w:p>
    <w:p w14:paraId="56ED87D1" w14:textId="77777777" w:rsidR="00AA160D" w:rsidRDefault="00AA160D" w:rsidP="00AA160D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Упрощение операторам согласования на</w:t>
      </w:r>
      <w:r w:rsidRPr="00AA160D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размещения средств связи на аэродромах и в границах </w:t>
      </w:r>
      <w:proofErr w:type="spellStart"/>
      <w:r w:rsidRPr="00AA160D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приаэродромных</w:t>
      </w:r>
      <w:proofErr w:type="spellEnd"/>
      <w:r w:rsidRPr="00AA160D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территорий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.</w:t>
      </w:r>
    </w:p>
    <w:p w14:paraId="0D0A075D" w14:textId="7C333C5E" w:rsidR="00AA160D" w:rsidRDefault="00AA160D" w:rsidP="00AA160D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Пересмотр</w:t>
      </w:r>
      <w:r w:rsidRPr="00AA160D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санитарно-эпидемиологически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х</w:t>
      </w:r>
      <w:r w:rsidRPr="00AA160D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норматив для увеличения предельно допустимого уровня излучения базовых станций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.</w:t>
      </w:r>
    </w:p>
    <w:p w14:paraId="157A2FC5" w14:textId="2C155EDB" w:rsidR="00AA160D" w:rsidRDefault="00AA160D" w:rsidP="00AA160D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Упрощение</w:t>
      </w:r>
      <w:r w:rsidRPr="00AA160D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доступ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а</w:t>
      </w:r>
      <w:r w:rsidRPr="00AA160D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операторов в многоквартирные жилые дома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для размещения</w:t>
      </w:r>
      <w:r w:rsidRPr="00AA160D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на общедомовой территории сети связи и 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оказания</w:t>
      </w:r>
      <w:r w:rsidRPr="00AA160D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услуги жильцам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.</w:t>
      </w:r>
    </w:p>
    <w:p w14:paraId="4AE4D345" w14:textId="1BBEDDE1" w:rsidR="00AA160D" w:rsidRPr="00AA160D" w:rsidRDefault="00AA160D" w:rsidP="00AA160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Вывод</w:t>
      </w:r>
      <w:r w:rsidRPr="00AA160D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: 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наиболее значимым экономическим фактором в деятельности ПАО «МТС» является налоговое регулирование отрасли, так как на инвестиции в беспроводные сети тратится большая часть бюджета организации, а налоговые вычеты и другие средства налогового регулирования позволят построить больше инфраструктуры в рамках уже запланированного бюджета.</w:t>
      </w:r>
    </w:p>
    <w:p w14:paraId="0B55BC88" w14:textId="0001DC89" w:rsidR="00580E83" w:rsidRDefault="00581533" w:rsidP="00580E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bidi="en-US"/>
        </w:rPr>
      </w:pPr>
      <w:r w:rsidRPr="00A67CC1">
        <w:rPr>
          <w:rFonts w:ascii="Times New Roman" w:eastAsia="Times New Roman" w:hAnsi="Times New Roman" w:cs="Times New Roman"/>
          <w:i/>
          <w:sz w:val="24"/>
          <w:szCs w:val="24"/>
          <w:lang w:bidi="en-US"/>
        </w:rPr>
        <w:t>Технологии:</w:t>
      </w:r>
    </w:p>
    <w:p w14:paraId="1F72B7BA" w14:textId="16C213C8" w:rsidR="00580E83" w:rsidRDefault="00580E83" w:rsidP="00C05F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580E83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Согласно политике </w:t>
      </w:r>
      <w:r w:rsidR="004017F2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ПАО «МТС»</w:t>
      </w:r>
      <w:r w:rsidRPr="00580E83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, в области научно-технического развития к НИОКР</w:t>
      </w:r>
      <w:r w:rsidR="00C05F0A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</w:t>
      </w:r>
      <w:r w:rsidRPr="00580E83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и</w:t>
      </w:r>
      <w:r w:rsidR="00C05F0A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</w:t>
      </w:r>
      <w:r w:rsidRPr="00580E83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технологическим работам могут относиться работы по созданию нового стандарта оказания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</w:t>
      </w:r>
      <w:r w:rsidRPr="00580E83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услуг телефонной связи, работы в области создания новых систем передачи </w:t>
      </w:r>
      <w:r w:rsidRPr="00580E83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lastRenderedPageBreak/>
        <w:t xml:space="preserve">данных и </w:t>
      </w:r>
      <w:r w:rsidR="003A55BC" w:rsidRPr="00580E83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т. п.</w:t>
      </w:r>
      <w:r w:rsidRPr="00580E83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Не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</w:t>
      </w:r>
      <w:r w:rsidRPr="00580E83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относятся к НИОКР и технологическим работам работы по совершенствованию существующих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</w:t>
      </w:r>
      <w:r w:rsidRPr="00580E83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технологий и организации производства продукции (выполнения работ, оказания услуг), в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</w:t>
      </w:r>
      <w:r w:rsidRPr="00580E83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частности, разработка и внедрение новых тарифных планов, разработка новых видов услуг,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</w:t>
      </w:r>
      <w:r w:rsidRPr="00580E83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основанных на применении </w:t>
      </w:r>
      <w:proofErr w:type="gramStart"/>
      <w:r w:rsidRPr="00580E83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уже существующих</w:t>
      </w:r>
      <w:proofErr w:type="gramEnd"/>
      <w:r w:rsidRPr="00580E83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технологий и </w:t>
      </w:r>
      <w:r w:rsidR="003A55BC" w:rsidRPr="00580E83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т. п.</w:t>
      </w:r>
    </w:p>
    <w:p w14:paraId="54384000" w14:textId="2B742EDB" w:rsidR="00580E83" w:rsidRPr="00580E83" w:rsidRDefault="00580E83" w:rsidP="00580E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За заданный период научно-исследовательские работы не проводились.</w:t>
      </w:r>
    </w:p>
    <w:p w14:paraId="37D2244B" w14:textId="0452B75D" w:rsidR="00581533" w:rsidRDefault="00581533" w:rsidP="00581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bidi="en-US"/>
        </w:rPr>
      </w:pPr>
      <w:r w:rsidRPr="00A67CC1">
        <w:rPr>
          <w:rFonts w:ascii="Times New Roman" w:eastAsia="Times New Roman" w:hAnsi="Times New Roman" w:cs="Times New Roman"/>
          <w:i/>
          <w:sz w:val="24"/>
          <w:szCs w:val="24"/>
          <w:lang w:bidi="en-US"/>
        </w:rPr>
        <w:t>Угроза появления продуктов-заменителей:</w:t>
      </w:r>
    </w:p>
    <w:p w14:paraId="74512E38" w14:textId="5A4352E1" w:rsidR="00AA160D" w:rsidRPr="00AA160D" w:rsidRDefault="003F71D3" w:rsidP="00581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За </w:t>
      </w:r>
      <w:r w:rsidR="003A55BC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2019–2021 гг.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продуктов-заменителей, представляющих угрозу для ПАО «МТС» не появилось.</w:t>
      </w:r>
    </w:p>
    <w:p w14:paraId="142F730B" w14:textId="732E7496" w:rsidR="00313E91" w:rsidRDefault="00581533" w:rsidP="00580E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bidi="en-US"/>
        </w:rPr>
      </w:pPr>
      <w:r w:rsidRPr="00A67CC1">
        <w:rPr>
          <w:rFonts w:ascii="Times New Roman" w:eastAsia="Times New Roman" w:hAnsi="Times New Roman" w:cs="Times New Roman"/>
          <w:i/>
          <w:sz w:val="24"/>
          <w:szCs w:val="24"/>
          <w:lang w:bidi="en-US"/>
        </w:rPr>
        <w:t>Угроза появления новых игроков</w:t>
      </w:r>
    </w:p>
    <w:p w14:paraId="78C6AF00" w14:textId="6BC70284" w:rsidR="00AA160D" w:rsidRDefault="00AA160D" w:rsidP="00581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В период </w:t>
      </w:r>
      <w:r w:rsidR="003A55BC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2019–2021 гг.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начали активно распространяться «виртуальные операторы связи» (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  <w:t>MVNO</w:t>
      </w:r>
      <w:r w:rsidRPr="00AA160D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. Они используют инфраструктуру существующего оператора связи, но продают услуги под своим брендом. Однако на данный момент </w:t>
      </w:r>
      <w:r w:rsidR="00771650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их распространение на рынке России составляет менее 3</w:t>
      </w:r>
      <w:r w:rsidR="00771650" w:rsidRPr="00771650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%</w:t>
      </w:r>
      <w:r w:rsidR="00771650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и многие из них долго не держатся на рынке.</w:t>
      </w:r>
    </w:p>
    <w:p w14:paraId="0130BE19" w14:textId="3105C4D2" w:rsidR="004017F2" w:rsidRDefault="004017F2" w:rsidP="00581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На момент 2019 года ПАО «МТС» является самым дорогим российским </w:t>
      </w:r>
      <w:r w:rsidR="009C2C4E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телеком-брендом по версии </w:t>
      </w:r>
      <w:r w:rsidR="009C2C4E"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  <w:t>Brand</w:t>
      </w:r>
      <w:r w:rsidR="009C2C4E" w:rsidRPr="009C2C4E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</w:t>
      </w:r>
      <w:r w:rsidR="009C2C4E"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  <w:t>Finance</w:t>
      </w:r>
      <w:r w:rsidR="009C2C4E" w:rsidRPr="009C2C4E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</w:t>
      </w:r>
      <w:r w:rsidR="009C2C4E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– стоимость бренда оценена в 121.5 млрд рублей. Наиболее дешёвым брендом является ПАО «Ростелеком», слившийся с ООО «Т2 Мобайл», со стоимостью 48 млрд рублей. Данную стоимость можно принять за стоимость создания телеком-бренда.</w:t>
      </w:r>
    </w:p>
    <w:p w14:paraId="455C6948" w14:textId="2AE78B3E" w:rsidR="009C2C4E" w:rsidRPr="009C2C4E" w:rsidRDefault="009C2C4E" w:rsidP="00581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За более 20 лет существования мобильной связи в России на её рынке сложилась олигополия, и единственным крупным игроком</w:t>
      </w:r>
      <w:r w:rsidR="003C1513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после операторов «большой тройки» («ВымпелКом», «МегаФон», «МТС»)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, сумевшим выйти на него стал ООО «Т2 Мобайл», работающий под брендом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  <w:t>Tele</w:t>
      </w:r>
      <w:r w:rsidRPr="009C2C4E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2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, принадлежащим шведской компании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  <w:t>Tele</w:t>
      </w:r>
      <w:r w:rsidRPr="009C2C4E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2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  <w:t>AB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. Однако до слияния активов с ПАО «Ростелеком» в 2014 году бренд не смог закрепиться на рынке.</w:t>
      </w:r>
    </w:p>
    <w:p w14:paraId="6F70B6AD" w14:textId="5FBD35D2" w:rsidR="00581533" w:rsidRPr="00A67CC1" w:rsidRDefault="00581533" w:rsidP="00581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bidi="en-US"/>
        </w:rPr>
      </w:pPr>
      <w:r w:rsidRPr="00A67CC1">
        <w:rPr>
          <w:rFonts w:ascii="Times New Roman" w:eastAsia="Times New Roman" w:hAnsi="Times New Roman" w:cs="Times New Roman"/>
          <w:i/>
          <w:sz w:val="24"/>
          <w:szCs w:val="24"/>
          <w:lang w:bidi="en-US"/>
        </w:rPr>
        <w:t>Рыночная власть поставщиков</w:t>
      </w:r>
    </w:p>
    <w:p w14:paraId="2AB76756" w14:textId="53E5D952" w:rsidR="007963F8" w:rsidRPr="00313E91" w:rsidRDefault="007963F8" w:rsidP="007963F8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За 3 мес. 2019 года</w:t>
      </w:r>
      <w:r w:rsidRPr="00313E91">
        <w:rPr>
          <w:rFonts w:ascii="Times New Roman" w:eastAsia="Times New Roman" w:hAnsi="Times New Roman" w:cs="Times New Roman"/>
          <w:sz w:val="24"/>
          <w:szCs w:val="24"/>
          <w:lang w:bidi="en-US"/>
        </w:rPr>
        <w:t>:</w:t>
      </w:r>
    </w:p>
    <w:p w14:paraId="76D10206" w14:textId="579C856C" w:rsidR="00B54E54" w:rsidRDefault="00B54E54" w:rsidP="00B54E5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54E54">
        <w:rPr>
          <w:rFonts w:ascii="Times New Roman" w:eastAsia="Times New Roman" w:hAnsi="Times New Roman" w:cs="Times New Roman"/>
          <w:sz w:val="24"/>
          <w:szCs w:val="24"/>
          <w:lang w:bidi="en-US"/>
        </w:rPr>
        <w:t>Поставщики эмитента, на которых приходится не менее 10 процентов всех поставок материалов и товаров:</w:t>
      </w:r>
    </w:p>
    <w:p w14:paraId="026435B6" w14:textId="77777777" w:rsidR="00B54E54" w:rsidRPr="00B54E54" w:rsidRDefault="00B54E54" w:rsidP="00B54E54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54E54">
        <w:rPr>
          <w:rFonts w:ascii="Times New Roman" w:eastAsia="Times New Roman" w:hAnsi="Times New Roman" w:cs="Times New Roman"/>
          <w:sz w:val="24"/>
          <w:szCs w:val="24"/>
          <w:lang w:bidi="en-US"/>
        </w:rPr>
        <w:t>Полное фирменное наименование: Ericsson AB</w:t>
      </w:r>
    </w:p>
    <w:p w14:paraId="596D326D" w14:textId="77777777" w:rsidR="00B54E54" w:rsidRPr="00B54E54" w:rsidRDefault="00B54E54" w:rsidP="00B54E54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54E5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Место нахождения: </w:t>
      </w:r>
      <w:proofErr w:type="spellStart"/>
      <w:r w:rsidRPr="00B54E54">
        <w:rPr>
          <w:rFonts w:ascii="Times New Roman" w:eastAsia="Times New Roman" w:hAnsi="Times New Roman" w:cs="Times New Roman"/>
          <w:sz w:val="24"/>
          <w:szCs w:val="24"/>
          <w:lang w:bidi="en-US"/>
        </w:rPr>
        <w:t>Torshamnsgatan</w:t>
      </w:r>
      <w:proofErr w:type="spellEnd"/>
      <w:r w:rsidRPr="00B54E5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23, </w:t>
      </w:r>
      <w:proofErr w:type="gramStart"/>
      <w:r w:rsidRPr="00B54E54">
        <w:rPr>
          <w:rFonts w:ascii="Times New Roman" w:eastAsia="Times New Roman" w:hAnsi="Times New Roman" w:cs="Times New Roman"/>
          <w:sz w:val="24"/>
          <w:szCs w:val="24"/>
          <w:lang w:bidi="en-US"/>
        </w:rPr>
        <w:t>556056-6258</w:t>
      </w:r>
      <w:proofErr w:type="gramEnd"/>
      <w:r w:rsidRPr="00B54E5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Stockholm, </w:t>
      </w:r>
      <w:proofErr w:type="spellStart"/>
      <w:r w:rsidRPr="00B54E54">
        <w:rPr>
          <w:rFonts w:ascii="Times New Roman" w:eastAsia="Times New Roman" w:hAnsi="Times New Roman" w:cs="Times New Roman"/>
          <w:sz w:val="24"/>
          <w:szCs w:val="24"/>
          <w:lang w:bidi="en-US"/>
        </w:rPr>
        <w:t>Sweden</w:t>
      </w:r>
      <w:proofErr w:type="spellEnd"/>
    </w:p>
    <w:p w14:paraId="4D3458FD" w14:textId="77777777" w:rsidR="00B54E54" w:rsidRPr="00B54E54" w:rsidRDefault="00B54E54" w:rsidP="00B54E54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54E54">
        <w:rPr>
          <w:rFonts w:ascii="Times New Roman" w:eastAsia="Times New Roman" w:hAnsi="Times New Roman" w:cs="Times New Roman"/>
          <w:sz w:val="24"/>
          <w:szCs w:val="24"/>
          <w:lang w:bidi="en-US"/>
        </w:rPr>
        <w:t>Не является резидентом РФ</w:t>
      </w:r>
    </w:p>
    <w:p w14:paraId="60099627" w14:textId="3FF6F2C6" w:rsidR="00B54E54" w:rsidRDefault="00B54E54" w:rsidP="00B54E54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54E54">
        <w:rPr>
          <w:rFonts w:ascii="Times New Roman" w:eastAsia="Times New Roman" w:hAnsi="Times New Roman" w:cs="Times New Roman"/>
          <w:sz w:val="24"/>
          <w:szCs w:val="24"/>
          <w:lang w:bidi="en-US"/>
        </w:rPr>
        <w:t>Доля в общем объеме поставок, %: 22,82</w:t>
      </w:r>
    </w:p>
    <w:p w14:paraId="5885B016" w14:textId="77777777" w:rsidR="00B54E54" w:rsidRPr="00B54E54" w:rsidRDefault="00B54E54" w:rsidP="00B54E54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54E5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Полное фирменное наименование: </w:t>
      </w:r>
      <w:proofErr w:type="spellStart"/>
      <w:r w:rsidRPr="00B54E54">
        <w:rPr>
          <w:rFonts w:ascii="Times New Roman" w:eastAsia="Times New Roman" w:hAnsi="Times New Roman" w:cs="Times New Roman"/>
          <w:sz w:val="24"/>
          <w:szCs w:val="24"/>
          <w:lang w:bidi="en-US"/>
        </w:rPr>
        <w:t>Техкомпания</w:t>
      </w:r>
      <w:proofErr w:type="spellEnd"/>
      <w:r w:rsidRPr="00B54E5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B54E54">
        <w:rPr>
          <w:rFonts w:ascii="Times New Roman" w:eastAsia="Times New Roman" w:hAnsi="Times New Roman" w:cs="Times New Roman"/>
          <w:sz w:val="24"/>
          <w:szCs w:val="24"/>
          <w:lang w:bidi="en-US"/>
        </w:rPr>
        <w:t>Хуавэй</w:t>
      </w:r>
      <w:proofErr w:type="spellEnd"/>
      <w:r w:rsidRPr="00B54E5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ООО</w:t>
      </w:r>
    </w:p>
    <w:p w14:paraId="1BC13095" w14:textId="77777777" w:rsidR="00B54E54" w:rsidRPr="00B54E54" w:rsidRDefault="00B54E54" w:rsidP="00B54E54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54E54">
        <w:rPr>
          <w:rFonts w:ascii="Times New Roman" w:eastAsia="Times New Roman" w:hAnsi="Times New Roman" w:cs="Times New Roman"/>
          <w:sz w:val="24"/>
          <w:szCs w:val="24"/>
          <w:lang w:bidi="en-US"/>
        </w:rPr>
        <w:t>Место нахождения: 121614, г. Москва, ул. Крылатская, д. 17, корпус 2</w:t>
      </w:r>
    </w:p>
    <w:p w14:paraId="7FCC6CEB" w14:textId="68A99D14" w:rsidR="00B54E54" w:rsidRDefault="00B54E54" w:rsidP="00B54E54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54E54">
        <w:rPr>
          <w:rFonts w:ascii="Times New Roman" w:eastAsia="Times New Roman" w:hAnsi="Times New Roman" w:cs="Times New Roman"/>
          <w:sz w:val="24"/>
          <w:szCs w:val="24"/>
          <w:lang w:bidi="en-US"/>
        </w:rPr>
        <w:t>Доля в общем объеме поставок, %: 16,63</w:t>
      </w:r>
    </w:p>
    <w:p w14:paraId="4DFBE926" w14:textId="45BC9852" w:rsidR="00B54E54" w:rsidRDefault="00B54E54" w:rsidP="00B54E5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B54E54">
        <w:rPr>
          <w:rFonts w:ascii="Times New Roman" w:eastAsia="Times New Roman" w:hAnsi="Times New Roman" w:cs="Times New Roman"/>
          <w:sz w:val="24"/>
          <w:szCs w:val="24"/>
          <w:lang w:bidi="en-US"/>
        </w:rPr>
        <w:t>Изменения цен более чем на 10% на основные материалы и товары (сырье) в течение соответствующего отчетного периода не было</w:t>
      </w:r>
    </w:p>
    <w:p w14:paraId="6F2C654B" w14:textId="626F0194" w:rsidR="00B54E54" w:rsidRPr="00B54E54" w:rsidRDefault="007963F8" w:rsidP="00B54E5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Доля импорта в поставках материалов и товаров, прогноз доступности источников импорта в будущем и возможные альтернативные источники: 53,69%</w:t>
      </w:r>
    </w:p>
    <w:p w14:paraId="0A472349" w14:textId="4263BECC" w:rsidR="007963F8" w:rsidRDefault="007963F8" w:rsidP="007963F8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За 6 мес. 2019 года</w:t>
      </w:r>
      <w:r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:</w:t>
      </w:r>
    </w:p>
    <w:p w14:paraId="7FBEB0ED" w14:textId="77777777" w:rsidR="007963F8" w:rsidRDefault="007963F8" w:rsidP="007963F8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Поставщики эмитента, на которых приходится не менее 10 процентов всех поставок материалов и товаров (сырья)</w:t>
      </w:r>
    </w:p>
    <w:p w14:paraId="5196769F" w14:textId="77777777" w:rsidR="007963F8" w:rsidRPr="007963F8" w:rsidRDefault="007963F8" w:rsidP="007963F8">
      <w:pPr>
        <w:pStyle w:val="a3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Полное фирменное наименование: Ericsson AB</w:t>
      </w:r>
    </w:p>
    <w:p w14:paraId="14519BCA" w14:textId="77777777" w:rsidR="007963F8" w:rsidRPr="007963F8" w:rsidRDefault="007963F8" w:rsidP="007963F8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Место нахождения: </w:t>
      </w:r>
      <w:proofErr w:type="spellStart"/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Torshamnsgatan</w:t>
      </w:r>
      <w:proofErr w:type="spellEnd"/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23, </w:t>
      </w:r>
      <w:proofErr w:type="gramStart"/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556056-6258</w:t>
      </w:r>
      <w:proofErr w:type="gramEnd"/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Stockholm, </w:t>
      </w:r>
      <w:proofErr w:type="spellStart"/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Sweden</w:t>
      </w:r>
      <w:proofErr w:type="spellEnd"/>
    </w:p>
    <w:p w14:paraId="19D248AF" w14:textId="77777777" w:rsidR="007963F8" w:rsidRPr="007963F8" w:rsidRDefault="007963F8" w:rsidP="007963F8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Не является резидентом РФ</w:t>
      </w:r>
    </w:p>
    <w:p w14:paraId="333B332C" w14:textId="77777777" w:rsidR="007963F8" w:rsidRDefault="007963F8" w:rsidP="007963F8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Доля в общем объеме поставок, %: 17,09</w:t>
      </w:r>
    </w:p>
    <w:p w14:paraId="0126F169" w14:textId="77777777" w:rsidR="007963F8" w:rsidRPr="007963F8" w:rsidRDefault="007963F8" w:rsidP="007963F8">
      <w:pPr>
        <w:pStyle w:val="a3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Полное фирменное наименование: </w:t>
      </w:r>
      <w:proofErr w:type="spellStart"/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Техкомпания</w:t>
      </w:r>
      <w:proofErr w:type="spellEnd"/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Хуавэй</w:t>
      </w:r>
      <w:proofErr w:type="spellEnd"/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ООО</w:t>
      </w:r>
    </w:p>
    <w:p w14:paraId="4E07F520" w14:textId="77777777" w:rsidR="007963F8" w:rsidRPr="007963F8" w:rsidRDefault="007963F8" w:rsidP="007963F8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Место нахождения: 121614, г. Москва, ул. Крылатская, д. 17, корпус 2</w:t>
      </w:r>
    </w:p>
    <w:p w14:paraId="2253BE5F" w14:textId="77777777" w:rsidR="007963F8" w:rsidRDefault="007963F8" w:rsidP="007963F8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Доля в общем объеме поставок, %: 16,63</w:t>
      </w:r>
    </w:p>
    <w:p w14:paraId="65285703" w14:textId="15DB2695" w:rsidR="007963F8" w:rsidRDefault="007963F8" w:rsidP="007963F8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Изменения цен более чем на 10% на основные материалы и товары (сырье) в течение соответствующего отчетного периода не было</w:t>
      </w:r>
    </w:p>
    <w:p w14:paraId="1363E545" w14:textId="079B76BF" w:rsidR="007963F8" w:rsidRDefault="007963F8" w:rsidP="007963F8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lastRenderedPageBreak/>
        <w:t>Доля импорта в поставках материалов и товаров, прогноз доступности источников импорта в будущем и возможные альтернативные источники: 30,42%</w:t>
      </w:r>
    </w:p>
    <w:p w14:paraId="722740AB" w14:textId="0D740F9D" w:rsidR="007963F8" w:rsidRDefault="007963F8" w:rsidP="007963F8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За 9 мес. 2019 года</w:t>
      </w:r>
      <w:r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:</w:t>
      </w:r>
    </w:p>
    <w:p w14:paraId="5EB55021" w14:textId="278931C0" w:rsidR="007963F8" w:rsidRDefault="007963F8" w:rsidP="007963F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Поставщики эмитента, на которых приходится не менее 10 процентов всех поставок материалов и товаров (сырья)</w:t>
      </w:r>
    </w:p>
    <w:p w14:paraId="56EFF7DC" w14:textId="77777777" w:rsidR="007963F8" w:rsidRPr="007963F8" w:rsidRDefault="007963F8" w:rsidP="007963F8">
      <w:pPr>
        <w:pStyle w:val="a3"/>
        <w:numPr>
          <w:ilvl w:val="1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Полное фирменное наименование: Ericsson AB</w:t>
      </w:r>
    </w:p>
    <w:p w14:paraId="4F0499A6" w14:textId="77777777" w:rsidR="007963F8" w:rsidRPr="007963F8" w:rsidRDefault="007963F8" w:rsidP="007963F8">
      <w:pPr>
        <w:pStyle w:val="a3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Место нахождения: </w:t>
      </w:r>
      <w:proofErr w:type="spellStart"/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Torshamnsgatan</w:t>
      </w:r>
      <w:proofErr w:type="spellEnd"/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23, </w:t>
      </w:r>
      <w:proofErr w:type="gramStart"/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556056-6258</w:t>
      </w:r>
      <w:proofErr w:type="gramEnd"/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Stockholm, </w:t>
      </w:r>
      <w:proofErr w:type="spellStart"/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Sweden</w:t>
      </w:r>
      <w:proofErr w:type="spellEnd"/>
    </w:p>
    <w:p w14:paraId="7E875044" w14:textId="77777777" w:rsidR="007963F8" w:rsidRPr="007963F8" w:rsidRDefault="007963F8" w:rsidP="007963F8">
      <w:pPr>
        <w:pStyle w:val="a3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Не является резидентом РФ</w:t>
      </w:r>
    </w:p>
    <w:p w14:paraId="2DA1423D" w14:textId="77777777" w:rsidR="007963F8" w:rsidRDefault="007963F8" w:rsidP="007963F8">
      <w:pPr>
        <w:pStyle w:val="a3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Доля в общем объеме поставок, %: 13,25</w:t>
      </w:r>
    </w:p>
    <w:p w14:paraId="7E769BE2" w14:textId="77777777" w:rsidR="007963F8" w:rsidRPr="007963F8" w:rsidRDefault="007963F8" w:rsidP="007963F8">
      <w:pPr>
        <w:pStyle w:val="a3"/>
        <w:numPr>
          <w:ilvl w:val="1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Полное фирменное наименование: </w:t>
      </w:r>
      <w:proofErr w:type="spellStart"/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Техкомпания</w:t>
      </w:r>
      <w:proofErr w:type="spellEnd"/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Хуавэй</w:t>
      </w:r>
      <w:proofErr w:type="spellEnd"/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ООО</w:t>
      </w:r>
    </w:p>
    <w:p w14:paraId="27473207" w14:textId="77777777" w:rsidR="007963F8" w:rsidRPr="007963F8" w:rsidRDefault="007963F8" w:rsidP="007963F8">
      <w:pPr>
        <w:pStyle w:val="a3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Место нахождения: 121614, г. Москва, ул. Крылатская, д. 17, корпус 2</w:t>
      </w:r>
    </w:p>
    <w:p w14:paraId="641802B9" w14:textId="7156FE66" w:rsidR="007963F8" w:rsidRPr="007963F8" w:rsidRDefault="007963F8" w:rsidP="007963F8">
      <w:pPr>
        <w:pStyle w:val="a3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Доля в общем объеме поставок, %: 11,63</w:t>
      </w:r>
    </w:p>
    <w:p w14:paraId="3D21CE73" w14:textId="60592925" w:rsidR="007963F8" w:rsidRPr="007963F8" w:rsidRDefault="007963F8" w:rsidP="007963F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Изменения цен более чем на 10% на основные материалы и товары (сырье) в течение соответствующего отчетного периода не было</w:t>
      </w:r>
    </w:p>
    <w:p w14:paraId="5B637E35" w14:textId="4B5B5084" w:rsidR="007963F8" w:rsidRDefault="007963F8" w:rsidP="007963F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7963F8">
        <w:rPr>
          <w:rFonts w:ascii="Times New Roman" w:eastAsia="Times New Roman" w:hAnsi="Times New Roman" w:cs="Times New Roman"/>
          <w:sz w:val="24"/>
          <w:szCs w:val="24"/>
          <w:lang w:bidi="en-US"/>
        </w:rPr>
        <w:t>Доля импорта в поставках материалов и товаров, прогноз доступности источников импорта в будущем и возможные альтернативные источники: 26%</w:t>
      </w:r>
    </w:p>
    <w:p w14:paraId="092CAB34" w14:textId="3C30C32E" w:rsidR="007963F8" w:rsidRDefault="004171BC" w:rsidP="007963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За 3 мес. 2020 года</w:t>
      </w:r>
      <w:r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:</w:t>
      </w:r>
    </w:p>
    <w:p w14:paraId="35BC8212" w14:textId="72BB5E72" w:rsidR="004171BC" w:rsidRDefault="004171BC" w:rsidP="004171BC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Поставщики эмитента, на которых приходится не менее 10 процентов всех поставок материалов и товаров (сырья)</w:t>
      </w:r>
    </w:p>
    <w:p w14:paraId="754893E4" w14:textId="77777777" w:rsidR="004171BC" w:rsidRPr="004171BC" w:rsidRDefault="004171BC" w:rsidP="004171BC">
      <w:pPr>
        <w:pStyle w:val="a3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Полное фирменное наименование: Ericsson AB</w:t>
      </w:r>
    </w:p>
    <w:p w14:paraId="7C5E7BC6" w14:textId="77777777" w:rsidR="004171BC" w:rsidRPr="004171BC" w:rsidRDefault="004171BC" w:rsidP="004171BC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Место нахождения: </w:t>
      </w:r>
      <w:proofErr w:type="spellStart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Torshamnsgatan</w:t>
      </w:r>
      <w:proofErr w:type="spellEnd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23, </w:t>
      </w:r>
      <w:proofErr w:type="gramStart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556056-6258</w:t>
      </w:r>
      <w:proofErr w:type="gramEnd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Stockholm, </w:t>
      </w:r>
      <w:proofErr w:type="spellStart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Sweden</w:t>
      </w:r>
      <w:proofErr w:type="spellEnd"/>
    </w:p>
    <w:p w14:paraId="4FBF5523" w14:textId="77777777" w:rsidR="004171BC" w:rsidRPr="004171BC" w:rsidRDefault="004171BC" w:rsidP="004171BC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Не является резидентом РФ</w:t>
      </w:r>
    </w:p>
    <w:p w14:paraId="1923230B" w14:textId="6BBAFD2F" w:rsidR="004171BC" w:rsidRDefault="004171BC" w:rsidP="004171BC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Доля в общем объеме поставок, %: 16,80</w:t>
      </w:r>
    </w:p>
    <w:p w14:paraId="27AD32A5" w14:textId="77777777" w:rsidR="004171BC" w:rsidRPr="004171BC" w:rsidRDefault="004171BC" w:rsidP="004171BC">
      <w:pPr>
        <w:pStyle w:val="a3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Полное фирменное наименование: </w:t>
      </w:r>
      <w:proofErr w:type="spellStart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Техкомпания</w:t>
      </w:r>
      <w:proofErr w:type="spellEnd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Хуавэй</w:t>
      </w:r>
      <w:proofErr w:type="spellEnd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ООО</w:t>
      </w:r>
    </w:p>
    <w:p w14:paraId="3A7C9DA3" w14:textId="77777777" w:rsidR="004171BC" w:rsidRPr="004171BC" w:rsidRDefault="004171BC" w:rsidP="004171BC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Место нахождения: 121614, г. Москва, ул. Крылатская, д. 17, корпус 2</w:t>
      </w:r>
    </w:p>
    <w:p w14:paraId="7F8FED14" w14:textId="7FD5AA88" w:rsidR="004171BC" w:rsidRDefault="004171BC" w:rsidP="004171BC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Доля в общем объеме поставок, %: 22,26</w:t>
      </w:r>
    </w:p>
    <w:p w14:paraId="42FC1B84" w14:textId="38D309EB" w:rsidR="004171BC" w:rsidRDefault="004171BC" w:rsidP="004171BC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Изменения цен более чем на 10% на основные материалы и товары (сырье) в течение соответствующего отчетного периода не было</w:t>
      </w:r>
    </w:p>
    <w:p w14:paraId="13305670" w14:textId="0E4DE29F" w:rsidR="004171BC" w:rsidRDefault="004171BC" w:rsidP="004171BC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Доля импорта в поставках материалов и товаров, прогноз доступности источников импорта в будущем и возможные альтернативные источники: 22,8%</w:t>
      </w:r>
    </w:p>
    <w:p w14:paraId="5CFBB3BE" w14:textId="03443AA2" w:rsidR="004171BC" w:rsidRDefault="004171BC" w:rsidP="004171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За 6 мес. 2020 года</w:t>
      </w:r>
      <w:r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:</w:t>
      </w:r>
    </w:p>
    <w:p w14:paraId="682E9E68" w14:textId="77777777" w:rsidR="004171BC" w:rsidRDefault="004171BC" w:rsidP="004171BC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Поставщики эмитента, на которых приходится не менее 10 процентов всех поставок материалов и товаров (сырья)</w:t>
      </w:r>
    </w:p>
    <w:p w14:paraId="15EB85A6" w14:textId="77777777" w:rsidR="004171BC" w:rsidRPr="004171BC" w:rsidRDefault="004171BC" w:rsidP="004171BC">
      <w:pPr>
        <w:pStyle w:val="a3"/>
        <w:numPr>
          <w:ilvl w:val="1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Полное фирменное наименование: Ericsson AB</w:t>
      </w:r>
    </w:p>
    <w:p w14:paraId="0772DC05" w14:textId="77777777" w:rsidR="004171BC" w:rsidRPr="004171BC" w:rsidRDefault="004171BC" w:rsidP="004171BC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Место нахождения: </w:t>
      </w:r>
      <w:proofErr w:type="spellStart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Torshamnsgatan</w:t>
      </w:r>
      <w:proofErr w:type="spellEnd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23, </w:t>
      </w:r>
      <w:proofErr w:type="gramStart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556056-6258</w:t>
      </w:r>
      <w:proofErr w:type="gramEnd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Stockholm, </w:t>
      </w:r>
      <w:proofErr w:type="spellStart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Sweden</w:t>
      </w:r>
      <w:proofErr w:type="spellEnd"/>
    </w:p>
    <w:p w14:paraId="5C6F6476" w14:textId="77777777" w:rsidR="004171BC" w:rsidRPr="004171BC" w:rsidRDefault="004171BC" w:rsidP="004171BC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Не является резидентом РФ</w:t>
      </w:r>
    </w:p>
    <w:p w14:paraId="6B8A00B6" w14:textId="6B904837" w:rsidR="004171BC" w:rsidRDefault="004171BC" w:rsidP="004171BC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Доля в общем объеме поставок, %: 15,03</w:t>
      </w:r>
    </w:p>
    <w:p w14:paraId="58C8ADFD" w14:textId="77777777" w:rsidR="004171BC" w:rsidRPr="004171BC" w:rsidRDefault="004171BC" w:rsidP="004171BC">
      <w:pPr>
        <w:pStyle w:val="a3"/>
        <w:numPr>
          <w:ilvl w:val="1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Полное фирменное наименование: </w:t>
      </w:r>
      <w:proofErr w:type="spellStart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Техкомпания</w:t>
      </w:r>
      <w:proofErr w:type="spellEnd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Хуавэй</w:t>
      </w:r>
      <w:proofErr w:type="spellEnd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ООО</w:t>
      </w:r>
    </w:p>
    <w:p w14:paraId="25C7A059" w14:textId="77777777" w:rsidR="004171BC" w:rsidRPr="004171BC" w:rsidRDefault="004171BC" w:rsidP="004171BC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Место нахождения: 121614, г. Москва, ул. Крылатская, д. 17, корпус 2</w:t>
      </w:r>
    </w:p>
    <w:p w14:paraId="192F4E0F" w14:textId="3EBC3A60" w:rsidR="004171BC" w:rsidRDefault="004171BC" w:rsidP="004171BC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Доля в общем объеме поставок, %: 20,58</w:t>
      </w:r>
    </w:p>
    <w:p w14:paraId="0954C736" w14:textId="77777777" w:rsidR="004171BC" w:rsidRPr="004171BC" w:rsidRDefault="004171BC" w:rsidP="004171BC">
      <w:pPr>
        <w:pStyle w:val="a3"/>
        <w:numPr>
          <w:ilvl w:val="1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Полное фирменное наименование: Энвижн Груп АО</w:t>
      </w:r>
    </w:p>
    <w:p w14:paraId="146B0A1B" w14:textId="77777777" w:rsidR="004171BC" w:rsidRPr="004171BC" w:rsidRDefault="004171BC" w:rsidP="004171BC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Место нахождения: 127055, Москва, ул. Новослободская, д. 29, стр. 2</w:t>
      </w:r>
    </w:p>
    <w:p w14:paraId="56185528" w14:textId="751E6F35" w:rsidR="004171BC" w:rsidRDefault="004171BC" w:rsidP="004171BC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Доля в общем объеме поставок, %: 10,58</w:t>
      </w:r>
    </w:p>
    <w:p w14:paraId="4A8B28B0" w14:textId="77777777" w:rsidR="004171BC" w:rsidRPr="004171BC" w:rsidRDefault="004171BC" w:rsidP="004171BC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Изменения цен более чем на 10% на основные материалы и товары (сырье) в течение</w:t>
      </w:r>
    </w:p>
    <w:p w14:paraId="1F11C254" w14:textId="54C75FA6" w:rsidR="004171BC" w:rsidRDefault="004171BC" w:rsidP="004171BC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соответствующего отчетного периода не было</w:t>
      </w:r>
    </w:p>
    <w:p w14:paraId="7FAD56EA" w14:textId="1EC54E5A" w:rsidR="004171BC" w:rsidRDefault="004171BC" w:rsidP="004171BC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Доля импорта в поставках материалов и товаров, прогноз доступности источников импорта в будущем и возможные альтернативные источники: 24,66%</w:t>
      </w:r>
    </w:p>
    <w:p w14:paraId="125BA5F2" w14:textId="3D39CEB4" w:rsidR="004171BC" w:rsidRDefault="004171BC" w:rsidP="004171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За 9 мес. 2020 года</w:t>
      </w:r>
      <w:r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:</w:t>
      </w:r>
    </w:p>
    <w:p w14:paraId="6DBB943F" w14:textId="257FA574" w:rsidR="004171BC" w:rsidRDefault="004171BC" w:rsidP="004171B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Поставщики эмитента, на которых приходится не менее 10 процентов всех поставок материалов и товаров (сырья)</w:t>
      </w:r>
    </w:p>
    <w:p w14:paraId="31082149" w14:textId="77777777" w:rsidR="004171BC" w:rsidRPr="004171BC" w:rsidRDefault="004171BC" w:rsidP="004171BC">
      <w:pPr>
        <w:pStyle w:val="a3"/>
        <w:numPr>
          <w:ilvl w:val="1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lastRenderedPageBreak/>
        <w:t>Полное фирменное наименование: Ericsson AB</w:t>
      </w:r>
    </w:p>
    <w:p w14:paraId="1FF1B42E" w14:textId="77777777" w:rsidR="004171BC" w:rsidRPr="004171BC" w:rsidRDefault="004171BC" w:rsidP="004171BC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Место нахождения: </w:t>
      </w:r>
      <w:proofErr w:type="spellStart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Torshamnsgatan</w:t>
      </w:r>
      <w:proofErr w:type="spellEnd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23, </w:t>
      </w:r>
      <w:proofErr w:type="gramStart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556056-6258</w:t>
      </w:r>
      <w:proofErr w:type="gramEnd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Stockholm, </w:t>
      </w:r>
      <w:proofErr w:type="spellStart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Sweden</w:t>
      </w:r>
      <w:proofErr w:type="spellEnd"/>
    </w:p>
    <w:p w14:paraId="169A0734" w14:textId="77777777" w:rsidR="004171BC" w:rsidRPr="004171BC" w:rsidRDefault="004171BC" w:rsidP="004171BC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Не является резидентом РФ</w:t>
      </w:r>
    </w:p>
    <w:p w14:paraId="2CFB148E" w14:textId="2E29CC7D" w:rsidR="004171BC" w:rsidRDefault="004171BC" w:rsidP="004171BC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Доля в общем объеме поставок, %: 14,05</w:t>
      </w:r>
    </w:p>
    <w:p w14:paraId="11FDAFD6" w14:textId="77777777" w:rsidR="004171BC" w:rsidRPr="004171BC" w:rsidRDefault="004171BC" w:rsidP="004171BC">
      <w:pPr>
        <w:pStyle w:val="a3"/>
        <w:numPr>
          <w:ilvl w:val="1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Полное фирменное наименование: </w:t>
      </w:r>
      <w:proofErr w:type="spellStart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Техкомпания</w:t>
      </w:r>
      <w:proofErr w:type="spellEnd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Хуавэй</w:t>
      </w:r>
      <w:proofErr w:type="spellEnd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ООО</w:t>
      </w:r>
    </w:p>
    <w:p w14:paraId="4C4F5FB6" w14:textId="77777777" w:rsidR="004171BC" w:rsidRPr="004171BC" w:rsidRDefault="004171BC" w:rsidP="004171BC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Место нахождения: 121614, г. Москва, ул. Крылатская, д. 17, корпус 2</w:t>
      </w:r>
    </w:p>
    <w:p w14:paraId="1496B659" w14:textId="518B85E8" w:rsidR="004171BC" w:rsidRDefault="004171BC" w:rsidP="004171BC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Доля в общем объеме поставок, %: 20,58</w:t>
      </w:r>
    </w:p>
    <w:p w14:paraId="709D08F8" w14:textId="40C4E83D" w:rsidR="004171BC" w:rsidRDefault="004171BC" w:rsidP="004171B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Изменения цен более чем на 10% на основные материалы и товары (сырье) в течение соответствующего отчетного периода не было</w:t>
      </w:r>
    </w:p>
    <w:p w14:paraId="5D0E3374" w14:textId="175BDB5C" w:rsidR="004171BC" w:rsidRDefault="004171BC" w:rsidP="004171B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Доля импорта в поставках материалов и товаров, прогноз доступности источников импорта в будущем и возможные альтернативные источники: 25,00%</w:t>
      </w:r>
    </w:p>
    <w:p w14:paraId="39FB14AA" w14:textId="29F0226D" w:rsidR="004171BC" w:rsidRDefault="004171BC" w:rsidP="004171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За 3 мес. 2021 года</w:t>
      </w:r>
      <w:r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:</w:t>
      </w:r>
    </w:p>
    <w:p w14:paraId="7C6589A8" w14:textId="7580D0A7" w:rsidR="004171BC" w:rsidRDefault="004171BC" w:rsidP="004171BC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Поставщики эмитента, на которых приходится не менее 10 процентов всех поставок материалов и товаров (сырья)</w:t>
      </w:r>
    </w:p>
    <w:p w14:paraId="39175AC1" w14:textId="77777777" w:rsidR="004171BC" w:rsidRPr="004171BC" w:rsidRDefault="004171BC" w:rsidP="004171BC">
      <w:pPr>
        <w:pStyle w:val="a3"/>
        <w:numPr>
          <w:ilvl w:val="1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Полное фирменное наименование: Ericsson AB</w:t>
      </w:r>
    </w:p>
    <w:p w14:paraId="50017195" w14:textId="77777777" w:rsidR="004171BC" w:rsidRPr="004171BC" w:rsidRDefault="004171BC" w:rsidP="004171BC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Место нахождения: </w:t>
      </w:r>
      <w:proofErr w:type="spellStart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Torshamnsgatan</w:t>
      </w:r>
      <w:proofErr w:type="spellEnd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23, </w:t>
      </w:r>
      <w:proofErr w:type="gramStart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556056-6258</w:t>
      </w:r>
      <w:proofErr w:type="gramEnd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Stockholm, </w:t>
      </w:r>
      <w:proofErr w:type="spellStart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Sweden</w:t>
      </w:r>
      <w:proofErr w:type="spellEnd"/>
    </w:p>
    <w:p w14:paraId="626F484E" w14:textId="77777777" w:rsidR="004171BC" w:rsidRPr="004171BC" w:rsidRDefault="004171BC" w:rsidP="004171BC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Не является резидентом РФ</w:t>
      </w:r>
    </w:p>
    <w:p w14:paraId="69D19E70" w14:textId="41B09221" w:rsidR="004171BC" w:rsidRDefault="004171BC" w:rsidP="004171BC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Доля в общем объеме поставок, %: 11,90</w:t>
      </w:r>
    </w:p>
    <w:p w14:paraId="380C490C" w14:textId="77777777" w:rsidR="004171BC" w:rsidRPr="004171BC" w:rsidRDefault="004171BC" w:rsidP="004171BC">
      <w:pPr>
        <w:pStyle w:val="a3"/>
        <w:numPr>
          <w:ilvl w:val="1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Полное фирменное наименование: </w:t>
      </w:r>
      <w:proofErr w:type="spellStart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Техкомпания</w:t>
      </w:r>
      <w:proofErr w:type="spellEnd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Хуавэй</w:t>
      </w:r>
      <w:proofErr w:type="spellEnd"/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ООО</w:t>
      </w:r>
    </w:p>
    <w:p w14:paraId="4A5B2CEC" w14:textId="77777777" w:rsidR="004171BC" w:rsidRPr="004171BC" w:rsidRDefault="004171BC" w:rsidP="004171BC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Место нахождения: 121614, г. Москва, ул. Крылатская, д. 17, корпус 2</w:t>
      </w:r>
    </w:p>
    <w:p w14:paraId="2DE2E68A" w14:textId="28AEA267" w:rsidR="004171BC" w:rsidRDefault="004171BC" w:rsidP="004171BC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Доля в общем объеме поставок, %: 37,45</w:t>
      </w:r>
    </w:p>
    <w:p w14:paraId="4E992042" w14:textId="2D759375" w:rsidR="004171BC" w:rsidRDefault="004171BC" w:rsidP="004171BC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Изменения цен более чем на 10% на основные материалы и товары (сырье) в течение соответствующего отчетного периода не было</w:t>
      </w:r>
    </w:p>
    <w:p w14:paraId="12A6B437" w14:textId="6B853243" w:rsidR="004171BC" w:rsidRDefault="004171BC" w:rsidP="004171BC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171BC">
        <w:rPr>
          <w:rFonts w:ascii="Times New Roman" w:eastAsia="Times New Roman" w:hAnsi="Times New Roman" w:cs="Times New Roman"/>
          <w:sz w:val="24"/>
          <w:szCs w:val="24"/>
          <w:lang w:bidi="en-US"/>
        </w:rPr>
        <w:t>Доля импорта в поставках материалов и товаров, прогноз доступности источников импорта в будущем и возможные альтернативные источники: 15,73%</w:t>
      </w:r>
    </w:p>
    <w:p w14:paraId="6FE61AD7" w14:textId="0D2E651C" w:rsidR="004171BC" w:rsidRDefault="004171BC" w:rsidP="004171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За 6 мес. 2021 года</w:t>
      </w:r>
      <w:r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:</w:t>
      </w:r>
    </w:p>
    <w:p w14:paraId="47E9A1BD" w14:textId="16F6EE30" w:rsidR="004171BC" w:rsidRDefault="004B6203" w:rsidP="004B6203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B6203">
        <w:rPr>
          <w:rFonts w:ascii="Times New Roman" w:eastAsia="Times New Roman" w:hAnsi="Times New Roman" w:cs="Times New Roman"/>
          <w:sz w:val="24"/>
          <w:szCs w:val="24"/>
          <w:lang w:bidi="en-US"/>
        </w:rPr>
        <w:t>Поставщики эмитента, на которых приходится не менее 10 процентов всех поставок материалов и товаров (сырья)</w:t>
      </w:r>
    </w:p>
    <w:p w14:paraId="68511018" w14:textId="77777777" w:rsidR="004B6203" w:rsidRPr="004B6203" w:rsidRDefault="004B6203" w:rsidP="004B6203">
      <w:pPr>
        <w:pStyle w:val="a3"/>
        <w:numPr>
          <w:ilvl w:val="1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B6203">
        <w:rPr>
          <w:rFonts w:ascii="Times New Roman" w:eastAsia="Times New Roman" w:hAnsi="Times New Roman" w:cs="Times New Roman"/>
          <w:sz w:val="24"/>
          <w:szCs w:val="24"/>
          <w:lang w:bidi="en-US"/>
        </w:rPr>
        <w:t>Полное фирменное наименование: Ericsson AB</w:t>
      </w:r>
    </w:p>
    <w:p w14:paraId="08E36002" w14:textId="77777777" w:rsidR="004B6203" w:rsidRPr="004B6203" w:rsidRDefault="004B6203" w:rsidP="004B6203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B620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Место нахождения: </w:t>
      </w:r>
      <w:proofErr w:type="spellStart"/>
      <w:r w:rsidRPr="004B6203">
        <w:rPr>
          <w:rFonts w:ascii="Times New Roman" w:eastAsia="Times New Roman" w:hAnsi="Times New Roman" w:cs="Times New Roman"/>
          <w:sz w:val="24"/>
          <w:szCs w:val="24"/>
          <w:lang w:bidi="en-US"/>
        </w:rPr>
        <w:t>Torshamnsgatan</w:t>
      </w:r>
      <w:proofErr w:type="spellEnd"/>
      <w:r w:rsidRPr="004B620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23, </w:t>
      </w:r>
      <w:proofErr w:type="gramStart"/>
      <w:r w:rsidRPr="004B6203">
        <w:rPr>
          <w:rFonts w:ascii="Times New Roman" w:eastAsia="Times New Roman" w:hAnsi="Times New Roman" w:cs="Times New Roman"/>
          <w:sz w:val="24"/>
          <w:szCs w:val="24"/>
          <w:lang w:bidi="en-US"/>
        </w:rPr>
        <w:t>556056-6258</w:t>
      </w:r>
      <w:proofErr w:type="gramEnd"/>
      <w:r w:rsidRPr="004B620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Stockholm, </w:t>
      </w:r>
      <w:proofErr w:type="spellStart"/>
      <w:r w:rsidRPr="004B6203">
        <w:rPr>
          <w:rFonts w:ascii="Times New Roman" w:eastAsia="Times New Roman" w:hAnsi="Times New Roman" w:cs="Times New Roman"/>
          <w:sz w:val="24"/>
          <w:szCs w:val="24"/>
          <w:lang w:bidi="en-US"/>
        </w:rPr>
        <w:t>Sweden</w:t>
      </w:r>
      <w:proofErr w:type="spellEnd"/>
    </w:p>
    <w:p w14:paraId="15E6E6CD" w14:textId="77777777" w:rsidR="004B6203" w:rsidRPr="004B6203" w:rsidRDefault="004B6203" w:rsidP="004B6203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B6203">
        <w:rPr>
          <w:rFonts w:ascii="Times New Roman" w:eastAsia="Times New Roman" w:hAnsi="Times New Roman" w:cs="Times New Roman"/>
          <w:sz w:val="24"/>
          <w:szCs w:val="24"/>
          <w:lang w:bidi="en-US"/>
        </w:rPr>
        <w:t>Не является резидентом РФ</w:t>
      </w:r>
    </w:p>
    <w:p w14:paraId="1A1C6D33" w14:textId="2EA16015" w:rsidR="004B6203" w:rsidRDefault="004B6203" w:rsidP="004B6203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B6203">
        <w:rPr>
          <w:rFonts w:ascii="Times New Roman" w:eastAsia="Times New Roman" w:hAnsi="Times New Roman" w:cs="Times New Roman"/>
          <w:sz w:val="24"/>
          <w:szCs w:val="24"/>
          <w:lang w:bidi="en-US"/>
        </w:rPr>
        <w:t>Доля в общем объеме поставок, %: 15,95</w:t>
      </w:r>
    </w:p>
    <w:p w14:paraId="5439D475" w14:textId="77777777" w:rsidR="004B6203" w:rsidRPr="004B6203" w:rsidRDefault="004B6203" w:rsidP="004B6203">
      <w:pPr>
        <w:pStyle w:val="a3"/>
        <w:numPr>
          <w:ilvl w:val="1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B620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Полное фирменное наименование: </w:t>
      </w:r>
      <w:proofErr w:type="spellStart"/>
      <w:r w:rsidRPr="004B6203">
        <w:rPr>
          <w:rFonts w:ascii="Times New Roman" w:eastAsia="Times New Roman" w:hAnsi="Times New Roman" w:cs="Times New Roman"/>
          <w:sz w:val="24"/>
          <w:szCs w:val="24"/>
          <w:lang w:bidi="en-US"/>
        </w:rPr>
        <w:t>Техкомпания</w:t>
      </w:r>
      <w:proofErr w:type="spellEnd"/>
      <w:r w:rsidRPr="004B620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4B6203">
        <w:rPr>
          <w:rFonts w:ascii="Times New Roman" w:eastAsia="Times New Roman" w:hAnsi="Times New Roman" w:cs="Times New Roman"/>
          <w:sz w:val="24"/>
          <w:szCs w:val="24"/>
          <w:lang w:bidi="en-US"/>
        </w:rPr>
        <w:t>Хуавэй</w:t>
      </w:r>
      <w:proofErr w:type="spellEnd"/>
      <w:r w:rsidRPr="004B620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ООО</w:t>
      </w:r>
    </w:p>
    <w:p w14:paraId="49987939" w14:textId="77777777" w:rsidR="004B6203" w:rsidRPr="004B6203" w:rsidRDefault="004B6203" w:rsidP="004B6203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B6203">
        <w:rPr>
          <w:rFonts w:ascii="Times New Roman" w:eastAsia="Times New Roman" w:hAnsi="Times New Roman" w:cs="Times New Roman"/>
          <w:sz w:val="24"/>
          <w:szCs w:val="24"/>
          <w:lang w:bidi="en-US"/>
        </w:rPr>
        <w:t>Место нахождения: 121614, г. Москва, ул. Крылатская, д. 17, корпус 2</w:t>
      </w:r>
    </w:p>
    <w:p w14:paraId="7FEFCE75" w14:textId="43041C6A" w:rsidR="004B6203" w:rsidRDefault="004B6203" w:rsidP="004B6203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B6203">
        <w:rPr>
          <w:rFonts w:ascii="Times New Roman" w:eastAsia="Times New Roman" w:hAnsi="Times New Roman" w:cs="Times New Roman"/>
          <w:sz w:val="24"/>
          <w:szCs w:val="24"/>
          <w:lang w:bidi="en-US"/>
        </w:rPr>
        <w:t>Доля в общем объеме поставок, %: 30,42</w:t>
      </w:r>
    </w:p>
    <w:p w14:paraId="0FC2EE7F" w14:textId="34A5D4C2" w:rsidR="004B6203" w:rsidRDefault="004B6203" w:rsidP="004B6203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B6203">
        <w:rPr>
          <w:rFonts w:ascii="Times New Roman" w:eastAsia="Times New Roman" w:hAnsi="Times New Roman" w:cs="Times New Roman"/>
          <w:sz w:val="24"/>
          <w:szCs w:val="24"/>
          <w:lang w:bidi="en-US"/>
        </w:rPr>
        <w:t>Изменения цен более чем на 10% на основные материалы и товары (сырье) в течение соответствующего отчетного периода не было</w:t>
      </w:r>
    </w:p>
    <w:p w14:paraId="3726DE4E" w14:textId="292788A4" w:rsidR="00771650" w:rsidRDefault="004B6203" w:rsidP="00771650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B6203">
        <w:rPr>
          <w:rFonts w:ascii="Times New Roman" w:eastAsia="Times New Roman" w:hAnsi="Times New Roman" w:cs="Times New Roman"/>
          <w:sz w:val="24"/>
          <w:szCs w:val="24"/>
          <w:lang w:bidi="en-US"/>
        </w:rPr>
        <w:t>Доля импорта в поставках материалов и товаров, прогноз доступности источников импорта в будущем и возможные альтернативные источники: 20,01%</w:t>
      </w:r>
    </w:p>
    <w:p w14:paraId="6CB1D2A4" w14:textId="382E6B4E" w:rsidR="00771650" w:rsidRPr="00771650" w:rsidRDefault="00771650" w:rsidP="0077165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Вывод</w:t>
      </w:r>
      <w:r w:rsidRPr="00771650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поставщики сырья имеют большое влияние на деятельность ПАО «МТС», так как поставляемые ими материалы являются уникальными и не могут быть произведены ПАО «МТС» самостоятельно и ценовая политика, диктуемая поставщиками, будет напрямую влиять на стоимость услуг оператора связи, </w:t>
      </w:r>
      <w:r w:rsidR="003A55BC">
        <w:rPr>
          <w:rFonts w:ascii="Times New Roman" w:eastAsia="Times New Roman" w:hAnsi="Times New Roman" w:cs="Times New Roman"/>
          <w:sz w:val="24"/>
          <w:szCs w:val="24"/>
          <w:lang w:bidi="en-US"/>
        </w:rPr>
        <w:t>а следовательно,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на его чистую прибыль. Следует также обратить внимание на то, что оба главных поставщика являются или представительством иностранной организации, или самой иностранной организацией, и санкции по отношению к нашей стране могут полностью остановить поставки сырья.</w:t>
      </w:r>
    </w:p>
    <w:p w14:paraId="783A5C2F" w14:textId="24460F68" w:rsidR="00581533" w:rsidRDefault="00581533" w:rsidP="00581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bidi="en-US"/>
        </w:rPr>
      </w:pPr>
      <w:r w:rsidRPr="00A67CC1">
        <w:rPr>
          <w:rFonts w:ascii="Times New Roman" w:eastAsia="Times New Roman" w:hAnsi="Times New Roman" w:cs="Times New Roman"/>
          <w:i/>
          <w:sz w:val="24"/>
          <w:szCs w:val="24"/>
          <w:lang w:bidi="en-US"/>
        </w:rPr>
        <w:t>Рыночная власть потребителей</w:t>
      </w:r>
    </w:p>
    <w:p w14:paraId="32FE1A8F" w14:textId="3354D915" w:rsidR="00D65119" w:rsidRDefault="00D65119" w:rsidP="00581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В связи с развившейся на рынке мобильной связи олигополи</w:t>
      </w:r>
      <w:r w:rsidR="003E5D97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ей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между компаниями «большой тройки» и лидирующим положением ПАО «МТС» можно сказать, что концентрация потребителей по сравнению с концентрацией компании крайне мала, в связи с чем мала и рыночная власть потребителей.</w:t>
      </w:r>
    </w:p>
    <w:p w14:paraId="1347823E" w14:textId="2BD2045C" w:rsidR="00D65119" w:rsidRDefault="00D65119" w:rsidP="00581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lastRenderedPageBreak/>
        <w:t>ПАО «МТС» не зависит от существующих каналов дистрибуции, так как компания самостоятельно занимается дистрибуцией своей продукции через офисы продаж и сеть Интернет.</w:t>
      </w:r>
    </w:p>
    <w:p w14:paraId="2EC9DA28" w14:textId="253B82E0" w:rsidR="003C1513" w:rsidRDefault="003C1513" w:rsidP="00581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Угрозы обратной интеграции потребителей для ПАО «МТС» нет в связи со специфичностью её деятельности</w:t>
      </w:r>
      <w:r w:rsidR="00D65119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.</w:t>
      </w:r>
    </w:p>
    <w:p w14:paraId="17B6E48D" w14:textId="14EA221B" w:rsidR="00643095" w:rsidRPr="003C1513" w:rsidRDefault="00643095" w:rsidP="00581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Ценовая чувствительность – это показатель, описывающий как стоимость продукта влияет на решение потребителя о его покупке. В случае если ПАО «МТС» увеличит стоимость тарифов, потребитель может перейти к другому оператору связи. Ситуация, когда потребитель откажется от услуг связи мобильного оператора крайне мала, так как продуктов-заменителей на рынке мобильной связи нет и единственный вариант – это перейти </w:t>
      </w:r>
      <w:r w:rsidR="00D65119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на тарифы другого оператора.</w:t>
      </w:r>
    </w:p>
    <w:p w14:paraId="709AD3AA" w14:textId="77777777" w:rsidR="00581533" w:rsidRPr="00A67CC1" w:rsidRDefault="00581533" w:rsidP="00581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bidi="en-US"/>
        </w:rPr>
      </w:pPr>
      <w:r w:rsidRPr="00A67CC1">
        <w:rPr>
          <w:rFonts w:ascii="Times New Roman" w:eastAsia="Times New Roman" w:hAnsi="Times New Roman" w:cs="Times New Roman"/>
          <w:i/>
          <w:sz w:val="24"/>
          <w:szCs w:val="24"/>
          <w:lang w:bidi="en-US"/>
        </w:rPr>
        <w:t>Уровень конкурентной борьбы</w:t>
      </w:r>
    </w:p>
    <w:p w14:paraId="26D72658" w14:textId="226F07B8" w:rsidR="004B6203" w:rsidRPr="008F07CA" w:rsidRDefault="004B6203" w:rsidP="008F07CA">
      <w:pPr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>В России услуги сотовой связи оказывают четыре федеральных оператора: ПАО «МТС», ПАО «МегаФон», ПАО «ВымпелКом» и ООО «Т2 РТК Холдинг» (совместное предприятие «Ростелекома» с Tele2), а также региональные телекоммуникационные компании и операторы виртуальных сетей</w:t>
      </w:r>
      <w:r w:rsid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в связи с чем типом конкуренции можно назвать олигополию. </w:t>
      </w:r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>Наиболее крупными рынками услуг сотовой связи на территории Российской Федерации (по количеству абонентов) являются Москва и Московская область, а также Санкт-Петербург и Ленинградская область.</w:t>
      </w:r>
    </w:p>
    <w:p w14:paraId="17D861F0" w14:textId="6FB4D56B" w:rsidR="00313E91" w:rsidRPr="008F07CA" w:rsidRDefault="00313E91" w:rsidP="008F07CA">
      <w:pPr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Продолжительное время рынок услуг сотовой связи в России развивался очень высокими темпами, что было обусловлено постоянным расширением целевых сегментов и охватом все более широких слоев населения, а также снижением уровня цен, как на услуги, так и на абонентское оборудование. В 2005 году впервые проявилась и в последующие годы продолжилась тенденция снижения темпов роста абонентской базы операторов сотовой связи, что присуще ситуации постепенного насыщения рынка. В соответствии с этим маркетинговые усилия операторов сместились от привлечения новых абонентов в сторону обеспечения лояльности и повышения доходности существующих абонентов, а также привлечения в свою сеть абонентов компаний-конкурентов. Уровень проникновения услуг сотовой связи составляет более 170%, что ставит Россию в ряд наиболее развитых телекоммуникационных рынков мира. Дальнейшее развитие базы ожидается за счет подключенных к сети устройств: счетчиков, датчиков, приборов и </w:t>
      </w:r>
      <w:r w:rsidR="003A55BC"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>т. д.</w:t>
      </w:r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того, что принято называть Интернетом вещей (Internet </w:t>
      </w:r>
      <w:proofErr w:type="spellStart"/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>of</w:t>
      </w:r>
      <w:proofErr w:type="spellEnd"/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>Things</w:t>
      </w:r>
      <w:proofErr w:type="spellEnd"/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(</w:t>
      </w:r>
      <w:proofErr w:type="spellStart"/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>IoT</w:t>
      </w:r>
      <w:proofErr w:type="spellEnd"/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>)) или М2М (</w:t>
      </w:r>
      <w:proofErr w:type="spellStart"/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>machine-to-machine</w:t>
      </w:r>
      <w:proofErr w:type="spellEnd"/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>).</w:t>
      </w:r>
    </w:p>
    <w:p w14:paraId="2747652E" w14:textId="2D85C1DD" w:rsidR="008F07CA" w:rsidRDefault="00313E91" w:rsidP="008F07CA">
      <w:pPr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>Согласно исследовани</w:t>
      </w:r>
      <w:r w:rsidR="00640A4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ю </w:t>
      </w:r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агентства Advanced Communications </w:t>
      </w:r>
      <w:proofErr w:type="spellStart"/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>and</w:t>
      </w:r>
      <w:proofErr w:type="spellEnd"/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Media (AC&amp;M) число таких устройств в настоящее время уже составляет 10</w:t>
      </w:r>
      <w:r w:rsidR="00640A4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>млн и данный сегмент рынка будет активно расти.</w:t>
      </w:r>
    </w:p>
    <w:p w14:paraId="0C211B7A" w14:textId="17E42AB7" w:rsidR="00313E91" w:rsidRPr="008F07CA" w:rsidRDefault="00313E91" w:rsidP="008F07CA">
      <w:pPr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Основная тенденция рынка - развитие технологий передачи данных и востребованность </w:t>
      </w:r>
      <w:proofErr w:type="spellStart"/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>digital</w:t>
      </w:r>
      <w:proofErr w:type="spellEnd"/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>-сервисов.</w:t>
      </w:r>
    </w:p>
    <w:p w14:paraId="1EF216AC" w14:textId="5C7B9B76" w:rsidR="00313E91" w:rsidRPr="008F07CA" w:rsidRDefault="00313E91" w:rsidP="008F07CA">
      <w:pPr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>Стремясь к сохранению и повышению интенсивности потребления услуг и удержанию доходов в расчете на одного абонента на высоком уровне, операторы фокусируются на реализации маркетинговых инициатив, включающих вывод сегментно-ориентированных предложений, новых сервисов, программ, направленных на повышение качества обслуживания абонентов, а также на расширение спектра дополнительных услуг.</w:t>
      </w:r>
    </w:p>
    <w:p w14:paraId="703B4658" w14:textId="77777777" w:rsidR="00581533" w:rsidRPr="00A67CC1" w:rsidRDefault="00581533" w:rsidP="00581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A67CC1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3. Определение конкурентной стратегии организации:</w:t>
      </w:r>
    </w:p>
    <w:p w14:paraId="1DFD8AE2" w14:textId="68FEB06A" w:rsidR="004017F2" w:rsidRPr="004017F2" w:rsidRDefault="004017F2" w:rsidP="004017F2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017F2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В 2019 году была принята новая стратегия Customer </w:t>
      </w:r>
      <w:proofErr w:type="spellStart"/>
      <w:r w:rsidRPr="004017F2">
        <w:rPr>
          <w:rFonts w:ascii="Times New Roman" w:eastAsia="Times New Roman" w:hAnsi="Times New Roman" w:cs="Times New Roman"/>
          <w:sz w:val="24"/>
          <w:szCs w:val="24"/>
          <w:lang w:bidi="en-US"/>
        </w:rPr>
        <w:t>Lifetime</w:t>
      </w:r>
      <w:proofErr w:type="spellEnd"/>
      <w:r w:rsidRPr="004017F2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Value 2.0 (CLV 2.0) на 2020–2022 гг.,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4017F2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которая подразумевает создание на базе основного телекоммуникационного бизнеса компании масштабной продуктовой экосистемы, включающей набор собственных и партнерских цифровых сервисов с бесшовным </w:t>
      </w:r>
      <w:r w:rsidRPr="004017F2">
        <w:rPr>
          <w:rFonts w:ascii="Times New Roman" w:eastAsia="Times New Roman" w:hAnsi="Times New Roman" w:cs="Times New Roman"/>
          <w:sz w:val="24"/>
          <w:szCs w:val="24"/>
          <w:lang w:bidi="en-US"/>
        </w:rPr>
        <w:lastRenderedPageBreak/>
        <w:t>переходом между ними, обладающих высокой ценностью для клиентов МТС и удовлетворяющих их потребности в различных сферах жизни.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br/>
      </w:r>
      <w:r w:rsidRPr="004017F2">
        <w:rPr>
          <w:rFonts w:ascii="Times New Roman" w:eastAsia="Times New Roman" w:hAnsi="Times New Roman" w:cs="Times New Roman"/>
          <w:sz w:val="24"/>
          <w:szCs w:val="24"/>
          <w:lang w:bidi="en-US"/>
        </w:rPr>
        <w:t>Ключевой целью стратегии CLV 2.0 является максимизация ценности (Value), которую МТС получает от клиента (Customer) за период, в течение которого он пользуется услугами компании (</w:t>
      </w:r>
      <w:proofErr w:type="spellStart"/>
      <w:r w:rsidRPr="004017F2">
        <w:rPr>
          <w:rFonts w:ascii="Times New Roman" w:eastAsia="Times New Roman" w:hAnsi="Times New Roman" w:cs="Times New Roman"/>
          <w:sz w:val="24"/>
          <w:szCs w:val="24"/>
          <w:lang w:bidi="en-US"/>
        </w:rPr>
        <w:t>Lifetime</w:t>
      </w:r>
      <w:proofErr w:type="spellEnd"/>
      <w:r w:rsidRPr="004017F2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). Стратегия сфокусирована на долгосрочной прибыли от клиента за счет предоставления </w:t>
      </w:r>
      <w:proofErr w:type="gramStart"/>
      <w:r w:rsidRPr="004017F2">
        <w:rPr>
          <w:rFonts w:ascii="Times New Roman" w:eastAsia="Times New Roman" w:hAnsi="Times New Roman" w:cs="Times New Roman"/>
          <w:sz w:val="24"/>
          <w:szCs w:val="24"/>
          <w:lang w:bidi="en-US"/>
        </w:rPr>
        <w:t>выгодных условий</w:t>
      </w:r>
      <w:proofErr w:type="gramEnd"/>
      <w:r w:rsidRPr="004017F2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при пользовании комплексом продуктов, повышения лояльности и продолжительности нахождения в экосистеме МТС.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br/>
      </w:r>
      <w:r w:rsidRPr="004017F2">
        <w:rPr>
          <w:rFonts w:ascii="Times New Roman" w:eastAsia="Times New Roman" w:hAnsi="Times New Roman" w:cs="Times New Roman"/>
          <w:sz w:val="24"/>
          <w:szCs w:val="24"/>
          <w:lang w:bidi="en-US"/>
        </w:rPr>
        <w:t>МТС планирует ежегодно инвестировать в новые направления бизнеса до 20% от основных капитальных затрат. Достигшие значимого масштаба направления бизнеса будут выделяться в отдельные компании с целью дальнейшего вывода на IPO с оценкой по более высоким мультипликаторам, чем телекоммуникационное «ядро», что позволит максимизировать общую акционерную стоимость МТС.</w:t>
      </w:r>
    </w:p>
    <w:p w14:paraId="204AABFF" w14:textId="63A4F521" w:rsidR="004B6203" w:rsidRDefault="004B6203" w:rsidP="004B6203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B620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Членство в РАСО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(Российская ассоциация по связям с общественностью)</w:t>
      </w:r>
      <w:r w:rsidR="004017F2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4B620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дает максимальную </w:t>
      </w:r>
      <w:r w:rsidR="004017F2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ПАО «МТС» </w:t>
      </w:r>
      <w:r w:rsidRPr="004B6203">
        <w:rPr>
          <w:rFonts w:ascii="Times New Roman" w:eastAsia="Times New Roman" w:hAnsi="Times New Roman" w:cs="Times New Roman"/>
          <w:sz w:val="24"/>
          <w:szCs w:val="24"/>
          <w:lang w:bidi="en-US"/>
        </w:rPr>
        <w:t>вовлеченность в общеотраслевые процессы, помогает получать оперативную информацию о состоянии рынка связей с общественностью в России и за рубежом, дает дополнительные конкурентные преимущества на рынке.</w:t>
      </w:r>
    </w:p>
    <w:p w14:paraId="7F2284C9" w14:textId="2C2389F3" w:rsidR="004B6203" w:rsidRDefault="007F3BAB" w:rsidP="004B6203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ПАО «МТС»</w:t>
      </w:r>
      <w:r w:rsidR="004B6203" w:rsidRPr="004B620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нацелена на дальнейшее укрепление своих позиций, используя и развивая факторы, определяющие конкурентоспособность оператора на рынке. Среди основных факторов конкурентоспособности ПАО «МТС» следует выделить: широту охвата сети и внутрисетевого роуминга, традиционно высокое качество услуг связи, выгодные тарифные предложения, учитывающие потребности абонентов, широкий спектр дополнительных услуг. Кроме того, следует отметить активное развитие собственной сети центров продаж и обслуживания, которые позволяют реализовывать собственные уникальные продукты и услуги, оказывать качественный сервис клиентам и положительно влияет на степень узнаваемости бренда МТС.</w:t>
      </w:r>
    </w:p>
    <w:p w14:paraId="08F5F524" w14:textId="7D155E77" w:rsidR="004017F2" w:rsidRDefault="004017F2" w:rsidP="006636CF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ПАО «МТС» наряду с другими крупными операторами сотовой связи начиная с 2010 года является участником Союза </w:t>
      </w:r>
      <w:r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LTE</w:t>
      </w:r>
      <w:r w:rsidRPr="004017F2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LTE</w:t>
      </w:r>
      <w:r w:rsidRPr="004017F2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Union</w:t>
      </w:r>
      <w:r w:rsidRPr="004017F2">
        <w:rPr>
          <w:rFonts w:ascii="Times New Roman" w:eastAsia="Times New Roman" w:hAnsi="Times New Roman" w:cs="Times New Roman"/>
          <w:sz w:val="24"/>
          <w:szCs w:val="24"/>
          <w:lang w:bidi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, что позволяет</w:t>
      </w:r>
      <w:r w:rsidRPr="004017F2">
        <w:rPr>
          <w:rFonts w:ascii="Times New Roman" w:eastAsia="Times New Roman" w:hAnsi="Times New Roman" w:cs="Times New Roman"/>
          <w:sz w:val="24"/>
          <w:szCs w:val="24"/>
          <w:lang w:bidi="en-US"/>
        </w:rPr>
        <w:t>:</w:t>
      </w:r>
    </w:p>
    <w:p w14:paraId="1EFE5E81" w14:textId="77777777" w:rsidR="004017F2" w:rsidRDefault="004017F2" w:rsidP="004017F2">
      <w:pPr>
        <w:pStyle w:val="a3"/>
        <w:numPr>
          <w:ilvl w:val="1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Объединить</w:t>
      </w:r>
      <w:r w:rsidR="004B6203" w:rsidRPr="004017F2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финансовые и организационные усилия с другими участниками Союза для выполнения работ, предписанных решением ГКРЧ, а в дальнейшем – конверсии радиочастотного спектра в целях внедрения в России сетей 4G/LTE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14:paraId="52702B11" w14:textId="77777777" w:rsidR="004017F2" w:rsidRDefault="004017F2" w:rsidP="004017F2">
      <w:pPr>
        <w:pStyle w:val="a3"/>
        <w:numPr>
          <w:ilvl w:val="1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О</w:t>
      </w:r>
      <w:r w:rsidR="004B6203" w:rsidRPr="004017F2">
        <w:rPr>
          <w:rFonts w:ascii="Times New Roman" w:eastAsia="Times New Roman" w:hAnsi="Times New Roman" w:cs="Times New Roman"/>
          <w:sz w:val="24"/>
          <w:szCs w:val="24"/>
          <w:lang w:bidi="en-US"/>
        </w:rPr>
        <w:t>беспечить соблюдение интересов ПАО «МТС» в рамках всех принимаемых Союзом решений и выполняемых работ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14:paraId="7837D83E" w14:textId="723ABCF6" w:rsidR="00580E83" w:rsidRPr="004017F2" w:rsidRDefault="004017F2" w:rsidP="004017F2">
      <w:pPr>
        <w:pStyle w:val="a3"/>
        <w:numPr>
          <w:ilvl w:val="1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О</w:t>
      </w:r>
      <w:r w:rsidR="004B6203" w:rsidRPr="004017F2">
        <w:rPr>
          <w:rFonts w:ascii="Times New Roman" w:eastAsia="Times New Roman" w:hAnsi="Times New Roman" w:cs="Times New Roman"/>
          <w:sz w:val="24"/>
          <w:szCs w:val="24"/>
          <w:lang w:bidi="en-US"/>
        </w:rPr>
        <w:t>беспечить готовность ПАО «МТС» к участию в конкурсах на частоты для внедрения технологии LTE.</w:t>
      </w:r>
    </w:p>
    <w:p w14:paraId="070801BD" w14:textId="5560CA18" w:rsidR="00580E83" w:rsidRDefault="00580E83" w:rsidP="00580E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Список использованных источников</w:t>
      </w:r>
      <w:r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:</w:t>
      </w:r>
    </w:p>
    <w:p w14:paraId="5E6049FC" w14:textId="38E7A1B9" w:rsidR="00A576C8" w:rsidRPr="00A576C8" w:rsidRDefault="00A576C8" w:rsidP="00A576C8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Ежеквартальные отчёты ПАО «МТС»</w:t>
      </w:r>
      <w:r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:</w:t>
      </w:r>
    </w:p>
    <w:p w14:paraId="6C1A70EC" w14:textId="77777777" w:rsidR="00A576C8" w:rsidRDefault="00A576C8" w:rsidP="00A576C8">
      <w:pPr>
        <w:pStyle w:val="a3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квартал 2019 г</w:t>
      </w:r>
      <w:r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.: </w:t>
      </w:r>
    </w:p>
    <w:p w14:paraId="2933FF44" w14:textId="53AB3834" w:rsidR="00A576C8" w:rsidRPr="00A576C8" w:rsidRDefault="00000000" w:rsidP="00A576C8">
      <w:pPr>
        <w:pStyle w:val="a3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hyperlink r:id="rId7" w:history="1"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https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://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mts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.</w:t>
        </w:r>
        <w:proofErr w:type="spellStart"/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ru</w:t>
        </w:r>
        <w:proofErr w:type="spellEnd"/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upload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contents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/10677/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rep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_0119.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pdf</w:t>
        </w:r>
      </w:hyperlink>
    </w:p>
    <w:p w14:paraId="331B13D8" w14:textId="77777777" w:rsidR="00A576C8" w:rsidRDefault="00A576C8" w:rsidP="00A576C8">
      <w:pPr>
        <w:pStyle w:val="a3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квартал 2019</w:t>
      </w:r>
      <w:r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г.</w:t>
      </w:r>
      <w:r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>:</w:t>
      </w:r>
    </w:p>
    <w:p w14:paraId="79760464" w14:textId="31E4D70E" w:rsidR="00A576C8" w:rsidRPr="00A576C8" w:rsidRDefault="00A576C8" w:rsidP="00A576C8">
      <w:pPr>
        <w:pStyle w:val="a3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hyperlink r:id="rId8" w:history="1"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https</w:t>
        </w:r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://</w:t>
        </w:r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mts</w:t>
        </w:r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.</w:t>
        </w:r>
        <w:proofErr w:type="spellStart"/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ru</w:t>
        </w:r>
        <w:proofErr w:type="spellEnd"/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</w:t>
        </w:r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upload</w:t>
        </w:r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</w:t>
        </w:r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contents</w:t>
        </w:r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/10677/</w:t>
        </w:r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rep</w:t>
        </w:r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_0219.</w:t>
        </w:r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pdf</w:t>
        </w:r>
      </w:hyperlink>
    </w:p>
    <w:p w14:paraId="7BE82251" w14:textId="77777777" w:rsidR="00A576C8" w:rsidRDefault="00A576C8" w:rsidP="00A576C8">
      <w:pPr>
        <w:pStyle w:val="a3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квартал 2019 г.</w:t>
      </w:r>
      <w:r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: </w:t>
      </w:r>
    </w:p>
    <w:p w14:paraId="3C893E12" w14:textId="0A538EA0" w:rsidR="00A576C8" w:rsidRPr="00A576C8" w:rsidRDefault="00000000" w:rsidP="00A576C8">
      <w:pPr>
        <w:pStyle w:val="a3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hyperlink r:id="rId9" w:history="1"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https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://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mts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.</w:t>
        </w:r>
        <w:proofErr w:type="spellStart"/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ru</w:t>
        </w:r>
        <w:proofErr w:type="spellEnd"/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upload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contents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/10677/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rep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_0319.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pdf</w:t>
        </w:r>
      </w:hyperlink>
    </w:p>
    <w:p w14:paraId="701A6DD4" w14:textId="77777777" w:rsidR="00A576C8" w:rsidRDefault="00A576C8" w:rsidP="00A576C8">
      <w:pPr>
        <w:pStyle w:val="a3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4 квартал 2019 г.</w:t>
      </w:r>
      <w:r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: </w:t>
      </w:r>
    </w:p>
    <w:p w14:paraId="3DBD2838" w14:textId="149C24F7" w:rsidR="00A576C8" w:rsidRPr="00A576C8" w:rsidRDefault="00000000" w:rsidP="00A576C8">
      <w:pPr>
        <w:pStyle w:val="a3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hyperlink r:id="rId10" w:history="1"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https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://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mts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.</w:t>
        </w:r>
        <w:proofErr w:type="spellStart"/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ru</w:t>
        </w:r>
        <w:proofErr w:type="spellEnd"/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upload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contents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/10677/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rep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_0419.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pdf</w:t>
        </w:r>
      </w:hyperlink>
    </w:p>
    <w:p w14:paraId="0BEFACDE" w14:textId="77777777" w:rsidR="00A576C8" w:rsidRDefault="00A576C8" w:rsidP="00A576C8">
      <w:pPr>
        <w:pStyle w:val="a3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квартал 2020 г.</w:t>
      </w:r>
      <w:r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>:</w:t>
      </w:r>
    </w:p>
    <w:p w14:paraId="0AFDC122" w14:textId="7D8FAD13" w:rsidR="00A576C8" w:rsidRPr="00A576C8" w:rsidRDefault="00A576C8" w:rsidP="00A576C8">
      <w:pPr>
        <w:pStyle w:val="a3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hyperlink r:id="rId11" w:history="1"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https</w:t>
        </w:r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://</w:t>
        </w:r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mts</w:t>
        </w:r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.</w:t>
        </w:r>
        <w:proofErr w:type="spellStart"/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ru</w:t>
        </w:r>
        <w:proofErr w:type="spellEnd"/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</w:t>
        </w:r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upload</w:t>
        </w:r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</w:t>
        </w:r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contents</w:t>
        </w:r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/10677/</w:t>
        </w:r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rep</w:t>
        </w:r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_0120.</w:t>
        </w:r>
        <w:r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pdf</w:t>
        </w:r>
      </w:hyperlink>
    </w:p>
    <w:p w14:paraId="70DBD705" w14:textId="77777777" w:rsidR="00A576C8" w:rsidRDefault="00A576C8" w:rsidP="00A576C8">
      <w:pPr>
        <w:pStyle w:val="a3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квартал 2020 г.</w:t>
      </w:r>
      <w:r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: </w:t>
      </w:r>
    </w:p>
    <w:p w14:paraId="6456719A" w14:textId="17038DE5" w:rsidR="00A576C8" w:rsidRPr="00A576C8" w:rsidRDefault="00000000" w:rsidP="00A576C8">
      <w:pPr>
        <w:pStyle w:val="a3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hyperlink r:id="rId12" w:history="1"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https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://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mts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.</w:t>
        </w:r>
        <w:proofErr w:type="spellStart"/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ru</w:t>
        </w:r>
        <w:proofErr w:type="spellEnd"/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upload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contents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/10677/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rep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_0220.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pdf</w:t>
        </w:r>
      </w:hyperlink>
    </w:p>
    <w:p w14:paraId="44AA9B83" w14:textId="77777777" w:rsidR="00A576C8" w:rsidRDefault="00A576C8" w:rsidP="00A576C8">
      <w:pPr>
        <w:pStyle w:val="a3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3 квартал 2020 г.</w:t>
      </w:r>
      <w:r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: </w:t>
      </w:r>
    </w:p>
    <w:p w14:paraId="464C1DD1" w14:textId="7968FEF9" w:rsidR="00A576C8" w:rsidRPr="00A576C8" w:rsidRDefault="00000000" w:rsidP="00A576C8">
      <w:pPr>
        <w:pStyle w:val="a3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hyperlink r:id="rId13" w:history="1"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https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://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mts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.</w:t>
        </w:r>
        <w:proofErr w:type="spellStart"/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ru</w:t>
        </w:r>
        <w:proofErr w:type="spellEnd"/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upload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contents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/10677/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rep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_0320.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pdf</w:t>
        </w:r>
      </w:hyperlink>
    </w:p>
    <w:p w14:paraId="79F98DDB" w14:textId="77777777" w:rsidR="00A576C8" w:rsidRDefault="00A576C8" w:rsidP="00A576C8">
      <w:pPr>
        <w:pStyle w:val="a3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4 квартал 2020 г.</w:t>
      </w:r>
      <w:r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: </w:t>
      </w:r>
    </w:p>
    <w:p w14:paraId="574646A6" w14:textId="2B83B829" w:rsidR="00A576C8" w:rsidRPr="00A576C8" w:rsidRDefault="00000000" w:rsidP="00A576C8">
      <w:pPr>
        <w:pStyle w:val="a3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hyperlink r:id="rId14" w:history="1"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https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://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mts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.</w:t>
        </w:r>
        <w:proofErr w:type="spellStart"/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ru</w:t>
        </w:r>
        <w:proofErr w:type="spellEnd"/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upload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contents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/10677/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rep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_0420.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pdf</w:t>
        </w:r>
      </w:hyperlink>
    </w:p>
    <w:p w14:paraId="451E9EDD" w14:textId="77777777" w:rsidR="00A576C8" w:rsidRDefault="00A576C8" w:rsidP="00A576C8">
      <w:pPr>
        <w:pStyle w:val="a3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квартал 2021 г.</w:t>
      </w:r>
      <w:r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: </w:t>
      </w:r>
    </w:p>
    <w:p w14:paraId="587EF617" w14:textId="73069F51" w:rsidR="00A576C8" w:rsidRPr="00A576C8" w:rsidRDefault="00000000" w:rsidP="00A576C8">
      <w:pPr>
        <w:pStyle w:val="a3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hyperlink r:id="rId15" w:history="1"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https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://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mts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.</w:t>
        </w:r>
        <w:proofErr w:type="spellStart"/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ru</w:t>
        </w:r>
        <w:proofErr w:type="spellEnd"/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upload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contents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/10677/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rep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_0121.</w:t>
        </w:r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pdf</w:t>
        </w:r>
      </w:hyperlink>
    </w:p>
    <w:p w14:paraId="74C57E08" w14:textId="431AEE86" w:rsidR="00A576C8" w:rsidRDefault="00A576C8" w:rsidP="00A576C8">
      <w:pPr>
        <w:pStyle w:val="a3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квартал 202</w:t>
      </w:r>
      <w:r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г.</w:t>
      </w:r>
      <w:r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>:</w:t>
      </w:r>
    </w:p>
    <w:p w14:paraId="6A1BFA25" w14:textId="49BC1064" w:rsidR="00A576C8" w:rsidRPr="00771650" w:rsidRDefault="00000000" w:rsidP="00771650">
      <w:pPr>
        <w:pStyle w:val="a3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hyperlink r:id="rId16" w:history="1">
        <w:r w:rsidR="00A576C8" w:rsidRPr="00EC4EDB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https://mts.ru/upload/contents/10677/rep_0221_130821.pdf</w:t>
        </w:r>
      </w:hyperlink>
    </w:p>
    <w:p w14:paraId="71D2B102" w14:textId="008C985B" w:rsidR="00771650" w:rsidRPr="00771650" w:rsidRDefault="00771650" w:rsidP="00771650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Предоставление сведений из ЕГРЮЛ</w:t>
      </w:r>
      <w:r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ЕГРИП в электронном виде</w:t>
      </w:r>
      <w:r w:rsidRPr="00A576C8">
        <w:rPr>
          <w:rFonts w:ascii="Times New Roman" w:eastAsia="Times New Roman" w:hAnsi="Times New Roman" w:cs="Times New Roman"/>
          <w:sz w:val="24"/>
          <w:szCs w:val="24"/>
          <w:lang w:bidi="en-US"/>
        </w:rPr>
        <w:t>:</w:t>
      </w:r>
    </w:p>
    <w:p w14:paraId="69FCBE4B" w14:textId="5604DDA4" w:rsidR="00771650" w:rsidRDefault="00000000" w:rsidP="00771650">
      <w:pPr>
        <w:pStyle w:val="a3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hyperlink r:id="rId17" w:history="1">
        <w:r w:rsidR="00771650" w:rsidRPr="00C75BF2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https://egrul.nalog.ru/index.html</w:t>
        </w:r>
      </w:hyperlink>
    </w:p>
    <w:p w14:paraId="7D37A4C7" w14:textId="5FD55EF4" w:rsidR="00771650" w:rsidRDefault="00771650" w:rsidP="00771650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Отчёты в области устойчивого развития ПАО «МТС»</w:t>
      </w:r>
      <w:r w:rsidRPr="00771650">
        <w:rPr>
          <w:rFonts w:ascii="Times New Roman" w:eastAsia="Times New Roman" w:hAnsi="Times New Roman" w:cs="Times New Roman"/>
          <w:sz w:val="24"/>
          <w:szCs w:val="24"/>
          <w:lang w:bidi="en-US"/>
        </w:rPr>
        <w:t>:</w:t>
      </w:r>
    </w:p>
    <w:p w14:paraId="1D2FAB58" w14:textId="0D8F8C27" w:rsidR="00771650" w:rsidRDefault="00000000" w:rsidP="00771650">
      <w:pPr>
        <w:pStyle w:val="a3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hyperlink r:id="rId18" w:history="1">
        <w:r w:rsidR="0008411E" w:rsidRPr="00C75BF2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https://moskva.mts.ru/about/mts-dlya-obshhestva/novosti-i-otcheti/otchet-ustoychivogo-razvitiya/2019</w:t>
        </w:r>
      </w:hyperlink>
    </w:p>
    <w:p w14:paraId="60272E7A" w14:textId="1A31FE1B" w:rsidR="0008411E" w:rsidRDefault="00000000" w:rsidP="00771650">
      <w:pPr>
        <w:pStyle w:val="a3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hyperlink r:id="rId19" w:history="1">
        <w:r w:rsidR="0008411E" w:rsidRPr="00C75BF2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https://moskva.mts.ru/about/mts-dlya-obshhestva/novosti-i-otcheti/otchet-ustoychivogo-razvitiya/2020</w:t>
        </w:r>
      </w:hyperlink>
    </w:p>
    <w:p w14:paraId="26AFB614" w14:textId="4B48E9E6" w:rsidR="0008411E" w:rsidRDefault="0008411E" w:rsidP="00771650">
      <w:pPr>
        <w:pStyle w:val="a3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08411E">
        <w:rPr>
          <w:rFonts w:ascii="Times New Roman" w:eastAsia="Times New Roman" w:hAnsi="Times New Roman" w:cs="Times New Roman"/>
          <w:sz w:val="24"/>
          <w:szCs w:val="24"/>
          <w:lang w:bidi="en-US"/>
        </w:rPr>
        <w:t>https://moskva.mts.ru/about/mts-dlya-obshhestva/novosti-i-otcheti/otchet-ustoychivogo-razvitiya/2021</w:t>
      </w:r>
    </w:p>
    <w:p w14:paraId="4741F6FE" w14:textId="29D9C74F" w:rsidR="0008411E" w:rsidRDefault="0008411E" w:rsidP="0008411E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Предложение о распространении налогового вычета на инвестиции в сеть на операторов</w:t>
      </w:r>
      <w:r w:rsidRPr="0008411E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: </w:t>
      </w:r>
      <w:hyperlink r:id="rId20" w:history="1">
        <w:r w:rsidR="008F07CA"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https://www.rbc.ru/technology_and_media/17/06/2021/60c8b8259a79471dcff92f6e</w:t>
        </w:r>
      </w:hyperlink>
    </w:p>
    <w:p w14:paraId="5F3142A9" w14:textId="554DCAAF" w:rsidR="008F07CA" w:rsidRDefault="008F07CA" w:rsidP="0008411E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МТС – АФК «Система»</w:t>
      </w:r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>:</w:t>
      </w:r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br/>
      </w:r>
      <w:hyperlink r:id="rId21" w:history="1">
        <w:r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https://www.sistema.ru/assets/mts</w:t>
        </w:r>
      </w:hyperlink>
    </w:p>
    <w:p w14:paraId="6DDDE23D" w14:textId="516D1375" w:rsidR="008F07CA" w:rsidRDefault="008F07CA" w:rsidP="0008411E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Экономические показатели статистика отрасли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Минцифры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России</w:t>
      </w:r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>:</w:t>
      </w:r>
    </w:p>
    <w:p w14:paraId="55649792" w14:textId="6728BAD8" w:rsidR="008F07CA" w:rsidRPr="008F07CA" w:rsidRDefault="008F07CA" w:rsidP="008F07CA">
      <w:pPr>
        <w:pStyle w:val="a3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2019 год</w:t>
      </w:r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br/>
      </w:r>
      <w:hyperlink r:id="rId22" w:history="1">
        <w:r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https</w:t>
        </w:r>
        <w:r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://</w:t>
        </w:r>
        <w:r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digital</w:t>
        </w:r>
        <w:r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.</w:t>
        </w:r>
        <w:r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gov</w:t>
        </w:r>
        <w:r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.</w:t>
        </w:r>
        <w:proofErr w:type="spellStart"/>
        <w:r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ru</w:t>
        </w:r>
        <w:proofErr w:type="spellEnd"/>
        <w:r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</w:t>
        </w:r>
        <w:r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uploaded</w:t>
        </w:r>
        <w:r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</w:t>
        </w:r>
        <w:r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files</w:t>
        </w:r>
        <w:r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/</w:t>
        </w:r>
        <w:proofErr w:type="spellStart"/>
        <w:r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ekonomicheskie</w:t>
        </w:r>
        <w:proofErr w:type="spellEnd"/>
        <w:r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-</w:t>
        </w:r>
        <w:proofErr w:type="spellStart"/>
        <w:r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pokazateli</w:t>
        </w:r>
        <w:proofErr w:type="spellEnd"/>
        <w:r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-2019-</w:t>
        </w:r>
        <w:r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god</w:t>
        </w:r>
        <w:r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_</w:t>
        </w:r>
        <w:proofErr w:type="spellStart"/>
        <w:r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FjnOu</w:t>
        </w:r>
        <w:proofErr w:type="spellEnd"/>
        <w:r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42.</w:t>
        </w:r>
        <w:proofErr w:type="spellStart"/>
        <w:r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bidi="en-US"/>
          </w:rPr>
          <w:t>xls</w:t>
        </w:r>
        <w:proofErr w:type="spellEnd"/>
      </w:hyperlink>
    </w:p>
    <w:p w14:paraId="685D38FF" w14:textId="42CB304A" w:rsidR="008F07CA" w:rsidRDefault="008F07CA" w:rsidP="008F07CA">
      <w:pPr>
        <w:pStyle w:val="a3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2020 год</w:t>
      </w:r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>:</w:t>
      </w:r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br/>
      </w:r>
      <w:hyperlink r:id="rId23" w:history="1">
        <w:r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https://digital.gov.ru/uploaded/files/ekonomicheskie-pokazateli-122020.xls</w:t>
        </w:r>
      </w:hyperlink>
    </w:p>
    <w:p w14:paraId="41E1FD41" w14:textId="086C4960" w:rsidR="008F07CA" w:rsidRPr="008F07CA" w:rsidRDefault="008F07CA" w:rsidP="008F07CA">
      <w:pPr>
        <w:pStyle w:val="a3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2021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год</w:t>
      </w:r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t>:</w:t>
      </w:r>
      <w:r w:rsidRPr="008F07CA">
        <w:rPr>
          <w:rFonts w:ascii="Times New Roman" w:eastAsia="Times New Roman" w:hAnsi="Times New Roman" w:cs="Times New Roman"/>
          <w:sz w:val="24"/>
          <w:szCs w:val="24"/>
          <w:lang w:bidi="en-US"/>
        </w:rPr>
        <w:br/>
      </w:r>
      <w:hyperlink r:id="rId24" w:history="1">
        <w:r w:rsidRPr="00020D57">
          <w:rPr>
            <w:rStyle w:val="a4"/>
            <w:rFonts w:ascii="Times New Roman" w:eastAsia="Times New Roman" w:hAnsi="Times New Roman" w:cs="Times New Roman"/>
            <w:sz w:val="24"/>
            <w:szCs w:val="24"/>
            <w:lang w:bidi="en-US"/>
          </w:rPr>
          <w:t>https://digital.gov.ru/uploaded/files/ekonomicheskie-pokazateli-2021.xls</w:t>
        </w:r>
      </w:hyperlink>
    </w:p>
    <w:sectPr w:rsidR="008F07CA" w:rsidRPr="008F0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4CB"/>
    <w:multiLevelType w:val="hybridMultilevel"/>
    <w:tmpl w:val="BF1E955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01C21B1A"/>
    <w:multiLevelType w:val="hybridMultilevel"/>
    <w:tmpl w:val="CBC6E0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2077E25"/>
    <w:multiLevelType w:val="hybridMultilevel"/>
    <w:tmpl w:val="5F942C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3C41DCD"/>
    <w:multiLevelType w:val="hybridMultilevel"/>
    <w:tmpl w:val="E4F2C9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45591"/>
    <w:multiLevelType w:val="hybridMultilevel"/>
    <w:tmpl w:val="C980D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90825"/>
    <w:multiLevelType w:val="hybridMultilevel"/>
    <w:tmpl w:val="3842A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95A79"/>
    <w:multiLevelType w:val="hybridMultilevel"/>
    <w:tmpl w:val="33E67F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F310366"/>
    <w:multiLevelType w:val="hybridMultilevel"/>
    <w:tmpl w:val="09DA2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F3F1B76"/>
    <w:multiLevelType w:val="hybridMultilevel"/>
    <w:tmpl w:val="50FAF23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12DC2F3E"/>
    <w:multiLevelType w:val="hybridMultilevel"/>
    <w:tmpl w:val="0D806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DA268B"/>
    <w:multiLevelType w:val="hybridMultilevel"/>
    <w:tmpl w:val="C43E1CB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1A991CB2"/>
    <w:multiLevelType w:val="hybridMultilevel"/>
    <w:tmpl w:val="28187B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1C010757"/>
    <w:multiLevelType w:val="hybridMultilevel"/>
    <w:tmpl w:val="7E4005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E544C"/>
    <w:multiLevelType w:val="hybridMultilevel"/>
    <w:tmpl w:val="74369E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1FEB2E6E"/>
    <w:multiLevelType w:val="hybridMultilevel"/>
    <w:tmpl w:val="F75E9C2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4992861"/>
    <w:multiLevelType w:val="hybridMultilevel"/>
    <w:tmpl w:val="9314F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FF3FB2"/>
    <w:multiLevelType w:val="hybridMultilevel"/>
    <w:tmpl w:val="A9B4003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B39743C"/>
    <w:multiLevelType w:val="hybridMultilevel"/>
    <w:tmpl w:val="DD76A0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E551CD3"/>
    <w:multiLevelType w:val="hybridMultilevel"/>
    <w:tmpl w:val="0B3C72B6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 w15:restartNumberingAfterBreak="0">
    <w:nsid w:val="335E68E9"/>
    <w:multiLevelType w:val="hybridMultilevel"/>
    <w:tmpl w:val="EAE295C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3882994"/>
    <w:multiLevelType w:val="hybridMultilevel"/>
    <w:tmpl w:val="EEC80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C4AB5"/>
    <w:multiLevelType w:val="hybridMultilevel"/>
    <w:tmpl w:val="0AD4D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6043B"/>
    <w:multiLevelType w:val="hybridMultilevel"/>
    <w:tmpl w:val="F73A0192"/>
    <w:lvl w:ilvl="0" w:tplc="0419000F">
      <w:start w:val="1"/>
      <w:numFmt w:val="decimal"/>
      <w:lvlText w:val="%1."/>
      <w:lvlJc w:val="left"/>
      <w:pPr>
        <w:ind w:left="2073" w:hanging="360"/>
      </w:p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3" w15:restartNumberingAfterBreak="0">
    <w:nsid w:val="484D0799"/>
    <w:multiLevelType w:val="hybridMultilevel"/>
    <w:tmpl w:val="696826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B6528D4"/>
    <w:multiLevelType w:val="hybridMultilevel"/>
    <w:tmpl w:val="1D0CB5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CF51D56"/>
    <w:multiLevelType w:val="hybridMultilevel"/>
    <w:tmpl w:val="423C548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0D41F8D"/>
    <w:multiLevelType w:val="hybridMultilevel"/>
    <w:tmpl w:val="137E20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3577F"/>
    <w:multiLevelType w:val="hybridMultilevel"/>
    <w:tmpl w:val="4ACC0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B6A78"/>
    <w:multiLevelType w:val="hybridMultilevel"/>
    <w:tmpl w:val="B6C40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C24A6"/>
    <w:multiLevelType w:val="hybridMultilevel"/>
    <w:tmpl w:val="32C874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E955C2"/>
    <w:multiLevelType w:val="hybridMultilevel"/>
    <w:tmpl w:val="0AD4D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64219"/>
    <w:multiLevelType w:val="hybridMultilevel"/>
    <w:tmpl w:val="11C63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F5335"/>
    <w:multiLevelType w:val="hybridMultilevel"/>
    <w:tmpl w:val="AE8A8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36E29"/>
    <w:multiLevelType w:val="hybridMultilevel"/>
    <w:tmpl w:val="EA9048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6BB972C7"/>
    <w:multiLevelType w:val="hybridMultilevel"/>
    <w:tmpl w:val="36A6D2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6EB31AC0"/>
    <w:multiLevelType w:val="hybridMultilevel"/>
    <w:tmpl w:val="4ACC0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9588B"/>
    <w:multiLevelType w:val="hybridMultilevel"/>
    <w:tmpl w:val="9508F3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0EA7FD4"/>
    <w:multiLevelType w:val="hybridMultilevel"/>
    <w:tmpl w:val="8F124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3B0308"/>
    <w:multiLevelType w:val="hybridMultilevel"/>
    <w:tmpl w:val="D02E08C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4EE2D8F"/>
    <w:multiLevelType w:val="hybridMultilevel"/>
    <w:tmpl w:val="D5C6C6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C7914"/>
    <w:multiLevelType w:val="hybridMultilevel"/>
    <w:tmpl w:val="840E95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DC302BC"/>
    <w:multiLevelType w:val="hybridMultilevel"/>
    <w:tmpl w:val="4F0853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7E2F1500"/>
    <w:multiLevelType w:val="hybridMultilevel"/>
    <w:tmpl w:val="A4DE41D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2777321">
    <w:abstractNumId w:val="19"/>
  </w:num>
  <w:num w:numId="2" w16cid:durableId="811022752">
    <w:abstractNumId w:val="0"/>
  </w:num>
  <w:num w:numId="3" w16cid:durableId="1418089642">
    <w:abstractNumId w:val="22"/>
  </w:num>
  <w:num w:numId="4" w16cid:durableId="905184424">
    <w:abstractNumId w:val="32"/>
  </w:num>
  <w:num w:numId="5" w16cid:durableId="1579515772">
    <w:abstractNumId w:val="9"/>
  </w:num>
  <w:num w:numId="6" w16cid:durableId="1654605049">
    <w:abstractNumId w:val="31"/>
  </w:num>
  <w:num w:numId="7" w16cid:durableId="286084574">
    <w:abstractNumId w:val="8"/>
  </w:num>
  <w:num w:numId="8" w16cid:durableId="1834638981">
    <w:abstractNumId w:val="35"/>
  </w:num>
  <w:num w:numId="9" w16cid:durableId="1435126029">
    <w:abstractNumId w:val="20"/>
  </w:num>
  <w:num w:numId="10" w16cid:durableId="1901936997">
    <w:abstractNumId w:val="39"/>
  </w:num>
  <w:num w:numId="11" w16cid:durableId="990406591">
    <w:abstractNumId w:val="29"/>
  </w:num>
  <w:num w:numId="12" w16cid:durableId="1185096482">
    <w:abstractNumId w:val="42"/>
  </w:num>
  <w:num w:numId="13" w16cid:durableId="1325548961">
    <w:abstractNumId w:val="37"/>
  </w:num>
  <w:num w:numId="14" w16cid:durableId="1494565219">
    <w:abstractNumId w:val="16"/>
  </w:num>
  <w:num w:numId="15" w16cid:durableId="197552888">
    <w:abstractNumId w:val="4"/>
  </w:num>
  <w:num w:numId="16" w16cid:durableId="424305269">
    <w:abstractNumId w:val="38"/>
  </w:num>
  <w:num w:numId="17" w16cid:durableId="1585529414">
    <w:abstractNumId w:val="24"/>
  </w:num>
  <w:num w:numId="18" w16cid:durableId="890072602">
    <w:abstractNumId w:val="15"/>
  </w:num>
  <w:num w:numId="19" w16cid:durableId="240405586">
    <w:abstractNumId w:val="21"/>
  </w:num>
  <w:num w:numId="20" w16cid:durableId="749809410">
    <w:abstractNumId w:val="30"/>
  </w:num>
  <w:num w:numId="21" w16cid:durableId="577523356">
    <w:abstractNumId w:val="3"/>
  </w:num>
  <w:num w:numId="22" w16cid:durableId="23289325">
    <w:abstractNumId w:val="12"/>
  </w:num>
  <w:num w:numId="23" w16cid:durableId="370233637">
    <w:abstractNumId w:val="26"/>
  </w:num>
  <w:num w:numId="24" w16cid:durableId="140511060">
    <w:abstractNumId w:val="28"/>
  </w:num>
  <w:num w:numId="25" w16cid:durableId="1954895671">
    <w:abstractNumId w:val="27"/>
  </w:num>
  <w:num w:numId="26" w16cid:durableId="539512498">
    <w:abstractNumId w:val="25"/>
  </w:num>
  <w:num w:numId="27" w16cid:durableId="883715162">
    <w:abstractNumId w:val="6"/>
  </w:num>
  <w:num w:numId="28" w16cid:durableId="1552031442">
    <w:abstractNumId w:val="5"/>
  </w:num>
  <w:num w:numId="29" w16cid:durableId="197352136">
    <w:abstractNumId w:val="36"/>
  </w:num>
  <w:num w:numId="30" w16cid:durableId="1469125477">
    <w:abstractNumId w:val="17"/>
  </w:num>
  <w:num w:numId="31" w16cid:durableId="1002468516">
    <w:abstractNumId w:val="11"/>
  </w:num>
  <w:num w:numId="32" w16cid:durableId="202712145">
    <w:abstractNumId w:val="34"/>
  </w:num>
  <w:num w:numId="33" w16cid:durableId="1404523014">
    <w:abstractNumId w:val="41"/>
  </w:num>
  <w:num w:numId="34" w16cid:durableId="1800873839">
    <w:abstractNumId w:val="40"/>
  </w:num>
  <w:num w:numId="35" w16cid:durableId="1517378606">
    <w:abstractNumId w:val="7"/>
  </w:num>
  <w:num w:numId="36" w16cid:durableId="226963782">
    <w:abstractNumId w:val="2"/>
  </w:num>
  <w:num w:numId="37" w16cid:durableId="1228302046">
    <w:abstractNumId w:val="14"/>
  </w:num>
  <w:num w:numId="38" w16cid:durableId="1919167460">
    <w:abstractNumId w:val="1"/>
  </w:num>
  <w:num w:numId="39" w16cid:durableId="129061261">
    <w:abstractNumId w:val="33"/>
  </w:num>
  <w:num w:numId="40" w16cid:durableId="1969974276">
    <w:abstractNumId w:val="10"/>
  </w:num>
  <w:num w:numId="41" w16cid:durableId="1157192047">
    <w:abstractNumId w:val="23"/>
  </w:num>
  <w:num w:numId="42" w16cid:durableId="1835104054">
    <w:abstractNumId w:val="13"/>
  </w:num>
  <w:num w:numId="43" w16cid:durableId="8987145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533"/>
    <w:rsid w:val="00065C2A"/>
    <w:rsid w:val="0008411E"/>
    <w:rsid w:val="000A0208"/>
    <w:rsid w:val="00144A6D"/>
    <w:rsid w:val="001F3EE5"/>
    <w:rsid w:val="002445EA"/>
    <w:rsid w:val="002E3210"/>
    <w:rsid w:val="00313E91"/>
    <w:rsid w:val="003A55BC"/>
    <w:rsid w:val="003B5F80"/>
    <w:rsid w:val="003C1513"/>
    <w:rsid w:val="003E5D97"/>
    <w:rsid w:val="003F1E11"/>
    <w:rsid w:val="003F71D3"/>
    <w:rsid w:val="004017F2"/>
    <w:rsid w:val="004110ED"/>
    <w:rsid w:val="004171BC"/>
    <w:rsid w:val="0046513F"/>
    <w:rsid w:val="004B6203"/>
    <w:rsid w:val="00580E83"/>
    <w:rsid w:val="00581533"/>
    <w:rsid w:val="005B2D1A"/>
    <w:rsid w:val="00640A4B"/>
    <w:rsid w:val="00643095"/>
    <w:rsid w:val="00693D8A"/>
    <w:rsid w:val="00771650"/>
    <w:rsid w:val="007963F8"/>
    <w:rsid w:val="007B5B9C"/>
    <w:rsid w:val="007B706B"/>
    <w:rsid w:val="007F3BAB"/>
    <w:rsid w:val="008039F2"/>
    <w:rsid w:val="00816281"/>
    <w:rsid w:val="008B3EE2"/>
    <w:rsid w:val="008D5F4A"/>
    <w:rsid w:val="008F07CA"/>
    <w:rsid w:val="00964203"/>
    <w:rsid w:val="009A785B"/>
    <w:rsid w:val="009C2C4E"/>
    <w:rsid w:val="00A576C8"/>
    <w:rsid w:val="00AA160D"/>
    <w:rsid w:val="00B54E54"/>
    <w:rsid w:val="00B667A3"/>
    <w:rsid w:val="00B83E33"/>
    <w:rsid w:val="00C05F0A"/>
    <w:rsid w:val="00C75E1C"/>
    <w:rsid w:val="00CA63CE"/>
    <w:rsid w:val="00D32F3C"/>
    <w:rsid w:val="00D65119"/>
    <w:rsid w:val="00D86DDB"/>
    <w:rsid w:val="00E306F5"/>
    <w:rsid w:val="00EA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169CC"/>
  <w15:chartTrackingRefBased/>
  <w15:docId w15:val="{8A9B5584-950F-433E-99D7-0005A8C4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5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0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E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0E83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3B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2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ts.ru/upload/contents/10677/rep_0219.pdf" TargetMode="External"/><Relationship Id="rId13" Type="http://schemas.openxmlformats.org/officeDocument/2006/relationships/hyperlink" Target="https://mts.ru/upload/contents/10677/rep_0320.pdf" TargetMode="External"/><Relationship Id="rId18" Type="http://schemas.openxmlformats.org/officeDocument/2006/relationships/hyperlink" Target="https://moskva.mts.ru/about/mts-dlya-obshhestva/novosti-i-otcheti/otchet-ustoychivogo-razvitiya/2019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ww.sistema.ru/assets/mts" TargetMode="External"/><Relationship Id="rId7" Type="http://schemas.openxmlformats.org/officeDocument/2006/relationships/hyperlink" Target="https://mts.ru/upload/contents/10677/rep_0119.pdf" TargetMode="External"/><Relationship Id="rId12" Type="http://schemas.openxmlformats.org/officeDocument/2006/relationships/hyperlink" Target="https://mts.ru/upload/contents/10677/rep_0220.pdf" TargetMode="External"/><Relationship Id="rId17" Type="http://schemas.openxmlformats.org/officeDocument/2006/relationships/hyperlink" Target="https://egrul.nalog.ru/index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ts.ru/upload/contents/10677/rep_0221_130821.pdf" TargetMode="External"/><Relationship Id="rId20" Type="http://schemas.openxmlformats.org/officeDocument/2006/relationships/hyperlink" Target="https://www.rbc.ru/technology_and_media/17/06/2021/60c8b8259a79471dcff92f6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ts.ru/upload/contents/10677/rep_0120.pdf" TargetMode="External"/><Relationship Id="rId24" Type="http://schemas.openxmlformats.org/officeDocument/2006/relationships/hyperlink" Target="https://digital.gov.ru/uploaded/files/ekonomicheskie-pokazateli-2021.xl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ts.ru/upload/contents/10677/rep_0121.pdf" TargetMode="External"/><Relationship Id="rId23" Type="http://schemas.openxmlformats.org/officeDocument/2006/relationships/hyperlink" Target="https://digital.gov.ru/uploaded/files/ekonomicheskie-pokazateli-122020.xls" TargetMode="External"/><Relationship Id="rId10" Type="http://schemas.openxmlformats.org/officeDocument/2006/relationships/hyperlink" Target="https://mts.ru/upload/contents/10677/rep_0419.pdf" TargetMode="External"/><Relationship Id="rId19" Type="http://schemas.openxmlformats.org/officeDocument/2006/relationships/hyperlink" Target="https://moskva.mts.ru/about/mts-dlya-obshhestva/novosti-i-otcheti/otchet-ustoychivogo-razvitiya/2020" TargetMode="External"/><Relationship Id="rId4" Type="http://schemas.openxmlformats.org/officeDocument/2006/relationships/styles" Target="styles.xml"/><Relationship Id="rId9" Type="http://schemas.openxmlformats.org/officeDocument/2006/relationships/hyperlink" Target="https://mts.ru/upload/contents/10677/rep_0319.pdf" TargetMode="External"/><Relationship Id="rId14" Type="http://schemas.openxmlformats.org/officeDocument/2006/relationships/hyperlink" Target="https://mts.ru/upload/contents/10677/rep_0420.pdf" TargetMode="External"/><Relationship Id="rId22" Type="http://schemas.openxmlformats.org/officeDocument/2006/relationships/hyperlink" Target="https://digital.gov.ru/uploaded/files/ekonomicheskie-pokazateli-2019-god_FjnOu42.xls" TargetMode="Externa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18CDE67F06B543A8B59890F4550F3D" ma:contentTypeVersion="11" ma:contentTypeDescription="Создание документа." ma:contentTypeScope="" ma:versionID="5823ee48d268e1108c862889415dc18c">
  <xsd:schema xmlns:xsd="http://www.w3.org/2001/XMLSchema" xmlns:xs="http://www.w3.org/2001/XMLSchema" xmlns:p="http://schemas.microsoft.com/office/2006/metadata/properties" xmlns:ns2="04aa55ac-2759-4285-8f5c-fe1db0360cca" xmlns:ns3="91618a8c-7ad0-43a6-bde2-e5d4af487e16" targetNamespace="http://schemas.microsoft.com/office/2006/metadata/properties" ma:root="true" ma:fieldsID="59154f7b45b82d17e277c50096adb7ea" ns2:_="" ns3:_="">
    <xsd:import namespace="04aa55ac-2759-4285-8f5c-fe1db0360cca"/>
    <xsd:import namespace="91618a8c-7ad0-43a6-bde2-e5d4af487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a55ac-2759-4285-8f5c-fe1db0360c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1f9ad3-3015-4419-8a5a-22d4d402f4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18a8c-7ad0-43a6-bde2-e5d4af487e1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ed4bef3-168c-4177-aa2e-3e38b0f180ec}" ma:internalName="TaxCatchAll" ma:showField="CatchAllData" ma:web="91618a8c-7ad0-43a6-bde2-e5d4af487e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1618a8c-7ad0-43a6-bde2-e5d4af487e16" xsi:nil="true"/>
    <lcf76f155ced4ddcb4097134ff3c332f xmlns="04aa55ac-2759-4285-8f5c-fe1db0360c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0B1711-D8A6-4C4F-85C5-0FDB4540862E}"/>
</file>

<file path=customXml/itemProps2.xml><?xml version="1.0" encoding="utf-8"?>
<ds:datastoreItem xmlns:ds="http://schemas.openxmlformats.org/officeDocument/2006/customXml" ds:itemID="{1393A71A-3231-487C-AAD3-B28A625ED5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8B4ECB-80D8-4BA1-AD2A-053A2ED267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10</Pages>
  <Words>4001</Words>
  <Characters>22808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Калачев Василий</dc:creator>
  <cp:keywords/>
  <dc:description/>
  <cp:lastModifiedBy>Богдан Падалко</cp:lastModifiedBy>
  <cp:revision>10</cp:revision>
  <dcterms:created xsi:type="dcterms:W3CDTF">2023-02-17T08:12:00Z</dcterms:created>
  <dcterms:modified xsi:type="dcterms:W3CDTF">2023-04-06T00:47:00Z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0x0101002118CDE67F06B543A8B59890F4550F3D</vt:lpwstr>
  </property>
</Properties>
</file>