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17365D"/>
          <w:sz w:val="68"/>
        </w:rPr>
        <w:t>FRAUD ANALYTICS</w:t>
      </w:r>
    </w:p>
    <w:p>
      <w:r>
        <w:rPr>
          <w:rFonts w:ascii="Aptos Display" w:hAnsi="Aptos Display"/>
          <w:color w:val="2F75B5"/>
          <w:sz w:val="40"/>
        </w:rPr>
        <w:t>End-to-End Banking Use Case and Apache Superset Dashboard Blueprint</w:t>
      </w:r>
    </w:p>
    <w:p>
      <w:pPr>
        <w:spacing w:before="280"/>
      </w:pPr>
      <w:r>
        <w:rPr>
          <w:color w:val="008C95"/>
          <w:sz w:val="26"/>
        </w:rPr>
        <w:t>A practical showcase for the Apache-based enterprise data platform</w:t>
      </w:r>
    </w:p>
    <w:tbl>
      <w:tblPr>
        <w:tblW w:type="auto" w:w="0"/>
        <w:jc w:val="center"/>
        <w:tblLayout w:type="fixed"/>
        <w:tblLook w:firstColumn="1" w:firstRow="1" w:lastColumn="0" w:lastRow="0" w:noHBand="0" w:noVBand="1" w:val="04A0"/>
      </w:tblPr>
      <w:tblGrid>
        <w:gridCol w:w="3360"/>
        <w:gridCol w:w="3360"/>
        <w:gridCol w:w="3360"/>
      </w:tblGrid>
      <w:tr>
        <w:tc>
          <w:tcPr>
            <w:tcW w:type="dxa" w:w="3528"/>
            <w:shd w:fill="17365D"/>
            <w:vAlign w:val="center"/>
            <w:tcMar>
              <w:top w:w="100" w:type="dxa"/>
              <w:start w:w="120" w:type="dxa"/>
              <w:bottom w:w="100" w:type="dxa"/>
              <w:end w:w="120" w:type="dxa"/>
            </w:tcMar>
          </w:tcPr>
          <w:p>
            <w:pPr>
              <w:spacing w:after="0"/>
              <w:jc w:val="left"/>
            </w:pPr>
            <w:r/>
            <w:r>
              <w:rPr>
                <w:rFonts w:ascii="Aptos" w:hAnsi="Aptos"/>
                <w:b/>
                <w:color w:val="FFFFFF"/>
                <w:sz w:val="18"/>
              </w:rPr>
              <w:t>BUSINESS GOAL</w:t>
              <w:br/>
              <w:t>Detect, investigate and report suspicious banking activity</w:t>
            </w:r>
          </w:p>
        </w:tc>
        <w:tc>
          <w:tcPr>
            <w:tcW w:type="dxa" w:w="3528"/>
            <w:shd w:fill="2F75B5"/>
            <w:vAlign w:val="center"/>
            <w:tcMar>
              <w:top w:w="100" w:type="dxa"/>
              <w:start w:w="120" w:type="dxa"/>
              <w:bottom w:w="100" w:type="dxa"/>
              <w:end w:w="120" w:type="dxa"/>
            </w:tcMar>
          </w:tcPr>
          <w:p>
            <w:pPr>
              <w:spacing w:after="0"/>
              <w:jc w:val="left"/>
            </w:pPr>
            <w:r/>
            <w:r>
              <w:rPr>
                <w:rFonts w:ascii="Aptos" w:hAnsi="Aptos"/>
                <w:b/>
                <w:color w:val="FFFFFF"/>
                <w:sz w:val="18"/>
              </w:rPr>
              <w:t>DATA APPROACH</w:t>
              <w:br/>
              <w:t>Fully synthetic, relational and privacy-safe</w:t>
            </w:r>
          </w:p>
        </w:tc>
        <w:tc>
          <w:tcPr>
            <w:tcW w:type="dxa" w:w="3528"/>
            <w:shd w:fill="008C95"/>
            <w:vAlign w:val="center"/>
            <w:tcMar>
              <w:top w:w="100" w:type="dxa"/>
              <w:start w:w="120" w:type="dxa"/>
              <w:bottom w:w="100" w:type="dxa"/>
              <w:end w:w="120" w:type="dxa"/>
            </w:tcMar>
          </w:tcPr>
          <w:p>
            <w:pPr>
              <w:spacing w:after="0"/>
              <w:jc w:val="left"/>
            </w:pPr>
            <w:r/>
            <w:r>
              <w:rPr>
                <w:rFonts w:ascii="Aptos" w:hAnsi="Aptos"/>
                <w:b/>
                <w:color w:val="FFFFFF"/>
                <w:sz w:val="18"/>
              </w:rPr>
              <w:t>OUTCOME</w:t>
              <w:br/>
              <w:t>Batch, streaming, analytics, governance and BI in one story</w:t>
            </w:r>
          </w:p>
        </w:tc>
      </w:tr>
    </w:tbl>
    <w:p>
      <w:pPr>
        <w:spacing w:after="400"/>
      </w:pPr>
    </w:p>
    <w:p>
      <w:pPr>
        <w:jc w:val="center"/>
      </w:pPr>
      <w:r>
        <w:drawing>
          <wp:inline xmlns:a="http://schemas.openxmlformats.org/drawingml/2006/main" xmlns:pic="http://schemas.openxmlformats.org/drawingml/2006/picture">
            <wp:extent cx="6629400" cy="32285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629400" cy="3228518"/>
                    </a:xfrm>
                    <a:prstGeom prst="rect"/>
                  </pic:spPr>
                </pic:pic>
              </a:graphicData>
            </a:graphic>
          </wp:inline>
        </w:drawing>
      </w:r>
    </w:p>
    <w:p>
      <w:pPr>
        <w:jc w:val="center"/>
      </w:pPr>
      <w:r>
        <w:rPr>
          <w:i/>
          <w:color w:val="666666"/>
          <w:sz w:val="16"/>
        </w:rPr>
        <w:t>Reference Apache-based data platform aligned to the fraud analytics demonstration.</w:t>
      </w:r>
    </w:p>
    <w:p>
      <w:pPr>
        <w:spacing w:before="200"/>
      </w:pPr>
      <w:r>
        <w:rPr>
          <w:b/>
          <w:color w:val="17365D"/>
        </w:rPr>
        <w:t>Prepared for solution demonstration and customer showcase</w:t>
      </w:r>
    </w:p>
    <w:p>
      <w:r>
        <w:rPr>
          <w:color w:val="666666"/>
        </w:rPr>
        <w:t>Version 1.0  |  19 August 2026</w:t>
      </w:r>
    </w:p>
    <w:p>
      <w:r>
        <w:br w:type="page"/>
      </w:r>
    </w:p>
    <w:p>
      <w:bookmarkStart w:id="1" w:name="ExecutiveSummary"/>
      <w:pPr>
        <w:pStyle w:val="Heading1"/>
      </w:pPr>
      <w:r>
        <w:t>1. Executive Summary</w:t>
      </w:r>
      <w:bookmarkEnd w:id="1"/>
    </w:p>
    <w:p>
      <w:r>
        <w:t>Fraud analytics is a strong demonstration use case for the platform because it combines heterogeneous data ingestion, event streaming, lakehouse processing, real-time decisioning, machine learning, governance, investigation workflows and executive reporting in one coherent business narrative.</w:t>
      </w:r>
    </w:p>
    <w:p>
      <w:r>
        <w:t>The proposed demonstration uses fully synthetic banking data to identify suspicious activity across customers, accounts, devices, merchants and payment channels. It embeds behavioural fraud patterns and known ground-truth labels, allowing the platform team to demonstrate both operational decisioning and model or rule effectiveness without exposing real customer information.</w:t>
      </w:r>
    </w:p>
    <w:tbl>
      <w:tblPr>
        <w:tblW w:type="auto" w:w="0"/>
        <w:jc w:val="center"/>
        <w:tblLayout w:type="fixed"/>
        <w:tblLook w:firstColumn="1" w:firstRow="1" w:lastColumn="0" w:lastRow="0" w:noHBand="0" w:noVBand="1" w:val="04A0"/>
      </w:tblPr>
      <w:tblGrid>
        <w:gridCol w:w="3360"/>
        <w:gridCol w:w="3360"/>
        <w:gridCol w:w="3360"/>
      </w:tblGrid>
      <w:tr>
        <w:tc>
          <w:tcPr>
            <w:tcW w:type="dxa" w:w="3456"/>
            <w:shd w:fill="EAF2F8"/>
            <w:vAlign w:val="center"/>
            <w:tcMar>
              <w:top w:w="100" w:type="dxa"/>
              <w:start w:w="120" w:type="dxa"/>
              <w:bottom w:w="100" w:type="dxa"/>
              <w:end w:w="120" w:type="dxa"/>
            </w:tcMar>
          </w:tcPr>
          <w:p>
            <w:pPr>
              <w:spacing w:after="0"/>
              <w:jc w:val="center"/>
            </w:pPr>
            <w:r/>
            <w:r>
              <w:rPr>
                <w:rFonts w:ascii="Aptos" w:hAnsi="Aptos"/>
                <w:b/>
                <w:color w:val="17365D"/>
                <w:sz w:val="22"/>
              </w:rPr>
              <w:t>50,000</w:t>
              <w:br/>
              <w:t>Synthetic transactions</w:t>
            </w:r>
          </w:p>
        </w:tc>
        <w:tc>
          <w:tcPr>
            <w:tcW w:type="dxa" w:w="3456"/>
            <w:shd w:fill="E8F5F2"/>
            <w:vAlign w:val="center"/>
            <w:tcMar>
              <w:top w:w="100" w:type="dxa"/>
              <w:start w:w="120" w:type="dxa"/>
              <w:bottom w:w="100" w:type="dxa"/>
              <w:end w:w="120" w:type="dxa"/>
            </w:tcMar>
          </w:tcPr>
          <w:p>
            <w:pPr>
              <w:spacing w:after="0"/>
              <w:jc w:val="center"/>
            </w:pPr>
            <w:r/>
            <w:r>
              <w:rPr>
                <w:rFonts w:ascii="Aptos" w:hAnsi="Aptos"/>
                <w:b/>
                <w:color w:val="17365D"/>
                <w:sz w:val="22"/>
              </w:rPr>
              <w:t>8</w:t>
              <w:br/>
              <w:t>Fraud typologies</w:t>
            </w:r>
          </w:p>
        </w:tc>
        <w:tc>
          <w:tcPr>
            <w:tcW w:type="dxa" w:w="3456"/>
            <w:shd w:fill="EAF2F8"/>
            <w:vAlign w:val="center"/>
            <w:tcMar>
              <w:top w:w="100" w:type="dxa"/>
              <w:start w:w="120" w:type="dxa"/>
              <w:bottom w:w="100" w:type="dxa"/>
              <w:end w:w="120" w:type="dxa"/>
            </w:tcMar>
          </w:tcPr>
          <w:p>
            <w:pPr>
              <w:spacing w:after="0"/>
              <w:jc w:val="center"/>
            </w:pPr>
            <w:r/>
            <w:r>
              <w:rPr>
                <w:rFonts w:ascii="Aptos" w:hAnsi="Aptos"/>
                <w:b/>
                <w:color w:val="17365D"/>
                <w:sz w:val="22"/>
              </w:rPr>
              <w:t>9</w:t>
              <w:br/>
              <w:t>Core relational datasets</w:t>
            </w:r>
          </w:p>
        </w:tc>
      </w:tr>
      <w:tr>
        <w:tc>
          <w:tcPr>
            <w:tcW w:type="dxa" w:w="3456"/>
            <w:shd w:fill="E8F5F2"/>
            <w:vAlign w:val="center"/>
            <w:tcMar>
              <w:top w:w="100" w:type="dxa"/>
              <w:start w:w="120" w:type="dxa"/>
              <w:bottom w:w="100" w:type="dxa"/>
              <w:end w:w="120" w:type="dxa"/>
            </w:tcMar>
          </w:tcPr>
          <w:p>
            <w:pPr>
              <w:spacing w:after="0"/>
              <w:jc w:val="center"/>
            </w:pPr>
            <w:r/>
            <w:r>
              <w:rPr>
                <w:rFonts w:ascii="Aptos" w:hAnsi="Aptos"/>
                <w:b/>
                <w:color w:val="17365D"/>
                <w:sz w:val="22"/>
              </w:rPr>
              <w:t>1,000</w:t>
              <w:br/>
              <w:t>Kafka-ready sample events</w:t>
            </w:r>
          </w:p>
        </w:tc>
        <w:tc>
          <w:tcPr>
            <w:tcW w:type="dxa" w:w="3456"/>
            <w:shd w:fill="EAF2F8"/>
            <w:vAlign w:val="center"/>
            <w:tcMar>
              <w:top w:w="100" w:type="dxa"/>
              <w:start w:w="120" w:type="dxa"/>
              <w:bottom w:w="100" w:type="dxa"/>
              <w:end w:w="120" w:type="dxa"/>
            </w:tcMar>
          </w:tcPr>
          <w:p>
            <w:pPr>
              <w:spacing w:after="0"/>
              <w:jc w:val="center"/>
            </w:pPr>
            <w:r/>
            <w:r>
              <w:rPr>
                <w:rFonts w:ascii="Aptos" w:hAnsi="Aptos"/>
                <w:b/>
                <w:color w:val="17365D"/>
                <w:sz w:val="22"/>
              </w:rPr>
              <w:t>8</w:t>
              <w:br/>
              <w:t>Superset dashboards</w:t>
            </w:r>
          </w:p>
        </w:tc>
        <w:tc>
          <w:tcPr>
            <w:tcW w:type="dxa" w:w="3456"/>
            <w:shd w:fill="E8F5F2"/>
            <w:vAlign w:val="center"/>
            <w:tcMar>
              <w:top w:w="100" w:type="dxa"/>
              <w:start w:w="120" w:type="dxa"/>
              <w:bottom w:w="100" w:type="dxa"/>
              <w:end w:w="120" w:type="dxa"/>
            </w:tcMar>
          </w:tcPr>
          <w:p>
            <w:pPr>
              <w:spacing w:after="0"/>
              <w:jc w:val="center"/>
            </w:pPr>
            <w:r/>
            <w:r>
              <w:rPr>
                <w:rFonts w:ascii="Aptos" w:hAnsi="Aptos"/>
                <w:b/>
                <w:color w:val="17365D"/>
                <w:sz w:val="22"/>
              </w:rPr>
              <w:t>6 months</w:t>
              <w:br/>
              <w:t>Demonstration period</w:t>
            </w:r>
          </w:p>
        </w:tc>
      </w:tr>
    </w:tbl>
    <w:p/>
    <w:p>
      <w:pPr>
        <w:pStyle w:val="Callout"/>
      </w:pPr>
      <w:r>
        <w:rPr>
          <w:b/>
        </w:rPr>
        <w:t xml:space="preserve">Business message: </w:t>
      </w:r>
      <w:r>
        <w:t>The showcase moves from data arrival to fraud detection, risk decision, alert creation, investigation and executive reporting, while demonstrating lineage, access control and auditability across the complete lifecycle.</w:t>
      </w:r>
    </w:p>
    <w:p>
      <w:bookmarkStart w:id="2" w:name="Objectives"/>
      <w:pPr>
        <w:pStyle w:val="Heading1"/>
      </w:pPr>
      <w:r>
        <w:t>2. Business Use Case and Objectives</w:t>
      </w:r>
      <w:bookmarkEnd w:id="2"/>
    </w:p>
    <w:p>
      <w:pPr>
        <w:pStyle w:val="Heading2"/>
      </w:pPr>
      <w:r>
        <w:t>2.1 Business Scenario</w:t>
      </w:r>
    </w:p>
    <w:p>
      <w:r>
        <w:t>A bank needs to monitor transactions across UPI, mobile banking, internet banking, ATM, POS, branch, IMPS, NEFT and RTGS channels. Suspicious transactions must be detected using behavioural, velocity, device, geographic, amount and merchant signals. High-risk events must create actionable alerts, support investigation, and provide management visibility into financial exposure and operational performance.</w:t>
      </w:r>
    </w:p>
    <w:p>
      <w:pPr>
        <w:pStyle w:val="Heading2"/>
      </w:pPr>
      <w:r>
        <w:t>2.2 Demonstration Objectives</w:t>
      </w:r>
    </w:p>
    <w:p>
      <w:pPr>
        <w:pStyle w:val="ListBullet"/>
      </w:pPr>
      <w:r>
        <w:t>Ingest batch master data and streaming transaction events.</w:t>
      </w:r>
    </w:p>
    <w:p>
      <w:pPr>
        <w:pStyle w:val="ListBullet"/>
      </w:pPr>
      <w:r>
        <w:t>Create raw, processed, curated and analytics-ready datasets.</w:t>
      </w:r>
    </w:p>
    <w:p>
      <w:pPr>
        <w:pStyle w:val="ListBullet"/>
      </w:pPr>
      <w:r>
        <w:t>Perform customer, account, device, merchant and transaction enrichment.</w:t>
      </w:r>
    </w:p>
    <w:p>
      <w:pPr>
        <w:pStyle w:val="ListBullet"/>
      </w:pPr>
      <w:r>
        <w:t>Calculate behavioural features and fraud risk scores.</w:t>
      </w:r>
    </w:p>
    <w:p>
      <w:pPr>
        <w:pStyle w:val="ListBullet"/>
      </w:pPr>
      <w:r>
        <w:t>Apply approve, challenge and decline decisions using illustrative thresholds.</w:t>
      </w:r>
    </w:p>
    <w:p>
      <w:pPr>
        <w:pStyle w:val="ListBullet"/>
      </w:pPr>
      <w:r>
        <w:t>Generate alerts and investigation cases for suspicious activity.</w:t>
      </w:r>
    </w:p>
    <w:p>
      <w:pPr>
        <w:pStyle w:val="ListBullet"/>
      </w:pPr>
      <w:r>
        <w:t>Publish governed gold datasets for low-latency analytics.</w:t>
      </w:r>
    </w:p>
    <w:p>
      <w:pPr>
        <w:pStyle w:val="ListBullet"/>
      </w:pPr>
      <w:r>
        <w:t>Deliver role-based dashboards for executives, fraud operations, investigators, risk teams and data scientists.</w:t>
      </w:r>
    </w:p>
    <w:p>
      <w:pPr>
        <w:pStyle w:val="ListBullet"/>
      </w:pPr>
      <w:r>
        <w:t>Demonstrate metadata, lineage, access control, masking, monitoring and audit evidence.</w:t>
      </w:r>
    </w:p>
    <w:p>
      <w:pPr>
        <w:pStyle w:val="Heading2"/>
      </w:pPr>
      <w:r>
        <w:t>2.3 Key Personas</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Persona</w:t>
            </w:r>
          </w:p>
        </w:tc>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Primary Need</w:t>
            </w:r>
          </w:p>
        </w:tc>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Platform Experience</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Fraud Operations Manager</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Monitor alert backlog, priority and SLA</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Superset operational dashboards and alert datasets</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Fraud Investigator</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Trace suspicious activity and evidence</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Customer, transaction, alert and case timeline</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Risk and Compliance</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Understand exposure and control effectiveness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Executive, typology and regulatory reporting</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Data Scientist</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Evaluate features and detection outcomes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Curated labels, feature datasets and notebooks</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Data Engineer</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Operate reliable data pipelines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NiFi, Kafka, Airflow, Spark, Flink and Iceberg</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Auditor or Data Steward</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Verify lineage, access and quality</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Atlas or DataHub, Ranger and audit logs</w:t>
            </w:r>
          </w:p>
        </w:tc>
      </w:tr>
    </w:tbl>
    <w:p>
      <w:bookmarkStart w:id="3" w:name="DataPack"/>
      <w:pPr>
        <w:pStyle w:val="Heading1"/>
      </w:pPr>
      <w:r>
        <w:t>3. Synthetic Banking Data Pack</w:t>
      </w:r>
      <w:bookmarkEnd w:id="3"/>
    </w:p>
    <w:p>
      <w:r>
        <w:t>The data pack is generated exclusively for demonstration. It contains no real person, customer, bank account, merchant, device, network or transaction information. All labels, values and outcomes are synthetic and must not be represented as production banking controls or model-validation evidence.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448"/>
            <w:vAlign w:val="center"/>
            <w:tcMar>
              <w:top w:w="100" w:type="dxa"/>
              <w:start w:w="120" w:type="dxa"/>
              <w:bottom w:w="100" w:type="dxa"/>
              <w:end w:w="120" w:type="dxa"/>
            </w:tcMar>
            <w:shd w:fill="17365D"/>
          </w:tcPr>
          <w:p>
            <w:pPr>
              <w:spacing w:after="0"/>
              <w:jc w:val="left"/>
            </w:pPr>
            <w:r/>
            <w:r>
              <w:rPr>
                <w:rFonts w:ascii="Aptos" w:hAnsi="Aptos"/>
                <w:b/>
                <w:color w:val="FFFFFF"/>
                <w:sz w:val="16"/>
              </w:rPr>
              <w:t>Dataset</w:t>
            </w:r>
          </w:p>
        </w:tc>
        <w:tc>
          <w:tcPr>
            <w:tcW w:type="dxa" w:w="1008"/>
            <w:vAlign w:val="center"/>
            <w:tcMar>
              <w:top w:w="100" w:type="dxa"/>
              <w:start w:w="120" w:type="dxa"/>
              <w:bottom w:w="100" w:type="dxa"/>
              <w:end w:w="120" w:type="dxa"/>
            </w:tcMar>
            <w:shd w:fill="17365D"/>
          </w:tcPr>
          <w:p>
            <w:pPr>
              <w:spacing w:after="0"/>
              <w:jc w:val="left"/>
            </w:pPr>
            <w:r/>
            <w:r>
              <w:rPr>
                <w:rFonts w:ascii="Aptos" w:hAnsi="Aptos"/>
                <w:b/>
                <w:color w:val="FFFFFF"/>
                <w:sz w:val="16"/>
              </w:rPr>
              <w:t>Records</w:t>
            </w:r>
          </w:p>
        </w:tc>
        <w:tc>
          <w:tcPr>
            <w:tcW w:type="dxa" w:w="5184"/>
            <w:vAlign w:val="center"/>
            <w:tcMar>
              <w:top w:w="100" w:type="dxa"/>
              <w:start w:w="120" w:type="dxa"/>
              <w:bottom w:w="100" w:type="dxa"/>
              <w:end w:w="120" w:type="dxa"/>
            </w:tcMar>
            <w:shd w:fill="17365D"/>
          </w:tcPr>
          <w:p>
            <w:pPr>
              <w:spacing w:after="0"/>
              <w:jc w:val="left"/>
            </w:pPr>
            <w:r/>
            <w:r>
              <w:rPr>
                <w:rFonts w:ascii="Aptos" w:hAnsi="Aptos"/>
                <w:b/>
                <w:color w:val="FFFFFF"/>
                <w:sz w:val="16"/>
              </w:rPr>
              <w:t>Business Purpose</w:t>
            </w:r>
          </w:p>
        </w:tc>
        <w:tc>
          <w:tcPr>
            <w:tcW w:type="dxa" w:w="1584"/>
            <w:vAlign w:val="center"/>
            <w:tcMar>
              <w:top w:w="100" w:type="dxa"/>
              <w:start w:w="120" w:type="dxa"/>
              <w:bottom w:w="100" w:type="dxa"/>
              <w:end w:w="120" w:type="dxa"/>
            </w:tcMar>
            <w:shd w:fill="17365D"/>
          </w:tcPr>
          <w:p>
            <w:pPr>
              <w:spacing w:after="0"/>
              <w:jc w:val="left"/>
            </w:pPr>
            <w:r/>
            <w:r>
              <w:rPr>
                <w:rFonts w:ascii="Aptos" w:hAnsi="Aptos"/>
                <w:b/>
                <w:color w:val="FFFFFF"/>
                <w:sz w:val="16"/>
              </w:rPr>
              <w:t>Primary Zone</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customers.csv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2,000</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Customer profile, segmentation, home location, KYC and risk band</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Raw / 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accounts.csv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2,000</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Savings, salary and current accounts</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Raw / 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devices.csv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3,538</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Known, trusted and newly observed devices</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Raw / 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merchants.csv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500</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Merchant profile, category, location and risk band</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Raw / 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transactions.csv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50,000</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Multi-channel banking transactions and engineered fraud signals</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Raw / Processed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fraud_events.csv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907</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Fraud labels, detection method, reason and loss estimate</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alerts.csv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1,674</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Priority, decision, queue, status and aging</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cases.csv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448</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Investigation workflow, disposition and confirmed losses</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Curated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gold_daily_channel_city.csv</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14,301</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Daily Superset-ready aggregation</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Gold</w:t>
            </w:r>
          </w:p>
        </w:tc>
      </w:tr>
      <w:tr>
        <w:tc>
          <w:tcPr>
            <w:tcW w:type="dxa" w:w="2448"/>
            <w:vAlign w:val="center"/>
            <w:tcMar>
              <w:top w:w="100" w:type="dxa"/>
              <w:start w:w="120" w:type="dxa"/>
              <w:bottom w:w="100" w:type="dxa"/>
              <w:end w:w="120" w:type="dxa"/>
            </w:tcMar>
          </w:tcPr>
          <w:p>
            <w:pPr>
              <w:spacing w:after="0"/>
              <w:jc w:val="left"/>
            </w:pPr>
            <w:r/>
            <w:r>
              <w:rPr>
                <w:rFonts w:ascii="Aptos" w:hAnsi="Aptos"/>
                <w:b w:val="0"/>
                <w:color w:val="000000"/>
                <w:sz w:val="16"/>
              </w:rPr>
              <w:t>transactions_kafka_sample.jsonl</w:t>
            </w:r>
          </w:p>
        </w:tc>
        <w:tc>
          <w:tcPr>
            <w:tcW w:type="dxa" w:w="1008"/>
            <w:vAlign w:val="center"/>
            <w:tcMar>
              <w:top w:w="100" w:type="dxa"/>
              <w:start w:w="120" w:type="dxa"/>
              <w:bottom w:w="100" w:type="dxa"/>
              <w:end w:w="120" w:type="dxa"/>
            </w:tcMar>
          </w:tcPr>
          <w:p>
            <w:pPr>
              <w:spacing w:after="0"/>
              <w:jc w:val="left"/>
            </w:pPr>
            <w:r/>
            <w:r>
              <w:rPr>
                <w:rFonts w:ascii="Aptos" w:hAnsi="Aptos"/>
                <w:b w:val="0"/>
                <w:color w:val="000000"/>
                <w:sz w:val="16"/>
              </w:rPr>
              <w:t>1,000</w:t>
            </w:r>
          </w:p>
        </w:tc>
        <w:tc>
          <w:tcPr>
            <w:tcW w:type="dxa" w:w="5184"/>
            <w:vAlign w:val="center"/>
            <w:tcMar>
              <w:top w:w="100" w:type="dxa"/>
              <w:start w:w="120" w:type="dxa"/>
              <w:bottom w:w="100" w:type="dxa"/>
              <w:end w:w="120" w:type="dxa"/>
            </w:tcMar>
          </w:tcPr>
          <w:p>
            <w:pPr>
              <w:spacing w:after="0"/>
              <w:jc w:val="left"/>
            </w:pPr>
            <w:r/>
            <w:r>
              <w:rPr>
                <w:rFonts w:ascii="Aptos" w:hAnsi="Aptos"/>
                <w:b w:val="0"/>
                <w:color w:val="000000"/>
                <w:sz w:val="16"/>
              </w:rPr>
              <w:t>Streaming transaction-event demonstration</w:t>
            </w:r>
          </w:p>
        </w:tc>
        <w:tc>
          <w:tcPr>
            <w:tcW w:type="dxa" w:w="1584"/>
            <w:vAlign w:val="center"/>
            <w:tcMar>
              <w:top w:w="100" w:type="dxa"/>
              <w:start w:w="120" w:type="dxa"/>
              <w:bottom w:w="100" w:type="dxa"/>
              <w:end w:w="120" w:type="dxa"/>
            </w:tcMar>
          </w:tcPr>
          <w:p>
            <w:pPr>
              <w:spacing w:after="0"/>
              <w:jc w:val="left"/>
            </w:pPr>
            <w:r/>
            <w:r>
              <w:rPr>
                <w:rFonts w:ascii="Aptos" w:hAnsi="Aptos"/>
                <w:b w:val="0"/>
                <w:color w:val="000000"/>
                <w:sz w:val="16"/>
              </w:rPr>
              <w:t>Streaming</w:t>
            </w:r>
          </w:p>
        </w:tc>
      </w:tr>
    </w:tbl>
    <w:p>
      <w:pPr>
        <w:pStyle w:val="Heading2"/>
      </w:pPr>
      <w:r>
        <w:t>3.1 Core Relationships</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00" w:type="dxa"/>
              <w:start w:w="120" w:type="dxa"/>
              <w:bottom w:w="100" w:type="dxa"/>
              <w:end w:w="120" w:type="dxa"/>
            </w:tcMar>
            <w:shd w:fill="008C95"/>
          </w:tcPr>
          <w:p>
            <w:pPr>
              <w:spacing w:after="0"/>
              <w:jc w:val="center"/>
            </w:pPr>
            <w:r/>
            <w:r>
              <w:rPr>
                <w:rFonts w:ascii="Aptos" w:hAnsi="Aptos"/>
                <w:b/>
                <w:color w:val="FFFFFF"/>
                <w:sz w:val="18"/>
              </w:rPr>
              <w:t>Parent Entity</w:t>
            </w:r>
          </w:p>
        </w:tc>
        <w:tc>
          <w:tcPr>
            <w:tcW w:type="dxa" w:w="3360"/>
            <w:vAlign w:val="center"/>
            <w:tcMar>
              <w:top w:w="100" w:type="dxa"/>
              <w:start w:w="120" w:type="dxa"/>
              <w:bottom w:w="100" w:type="dxa"/>
              <w:end w:w="120" w:type="dxa"/>
            </w:tcMar>
            <w:shd w:fill="008C95"/>
          </w:tcPr>
          <w:p>
            <w:pPr>
              <w:spacing w:after="0"/>
              <w:jc w:val="center"/>
            </w:pPr>
            <w:r/>
            <w:r>
              <w:rPr>
                <w:rFonts w:ascii="Aptos" w:hAnsi="Aptos"/>
                <w:b/>
                <w:color w:val="FFFFFF"/>
                <w:sz w:val="18"/>
              </w:rPr>
              <w:t>Relationship</w:t>
            </w:r>
          </w:p>
        </w:tc>
        <w:tc>
          <w:tcPr>
            <w:tcW w:type="dxa" w:w="3360"/>
            <w:vAlign w:val="center"/>
            <w:tcMar>
              <w:top w:w="100" w:type="dxa"/>
              <w:start w:w="120" w:type="dxa"/>
              <w:bottom w:w="100" w:type="dxa"/>
              <w:end w:w="120" w:type="dxa"/>
            </w:tcMar>
            <w:shd w:fill="008C95"/>
          </w:tcPr>
          <w:p>
            <w:pPr>
              <w:spacing w:after="0"/>
              <w:jc w:val="center"/>
            </w:pPr>
            <w:r/>
            <w:r>
              <w:rPr>
                <w:rFonts w:ascii="Aptos" w:hAnsi="Aptos"/>
                <w:b/>
                <w:color w:val="FFFFFF"/>
                <w:sz w:val="18"/>
              </w:rPr>
              <w:t>Child Entity</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Customer</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one-to-many</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Account, Device, Transaction</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Account</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one-to-many</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Transaction</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Merchant</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one-to-many</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Transaction</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Transaction</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zero-or-one</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Fraud Event</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Transaction</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zero-to-many</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Alert</w:t>
            </w:r>
          </w:p>
        </w:tc>
      </w:tr>
      <w:tr>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Alert</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zero-or-one</w:t>
            </w:r>
          </w:p>
        </w:tc>
        <w:tc>
          <w:tcPr>
            <w:tcW w:type="dxa" w:w="3360"/>
            <w:vAlign w:val="center"/>
            <w:tcMar>
              <w:top w:w="100" w:type="dxa"/>
              <w:start w:w="120" w:type="dxa"/>
              <w:bottom w:w="100" w:type="dxa"/>
              <w:end w:w="120" w:type="dxa"/>
            </w:tcMar>
          </w:tcPr>
          <w:p>
            <w:pPr>
              <w:spacing w:after="0"/>
              <w:jc w:val="center"/>
            </w:pPr>
            <w:r/>
            <w:r>
              <w:rPr>
                <w:rFonts w:ascii="Aptos" w:hAnsi="Aptos"/>
                <w:b w:val="0"/>
                <w:color w:val="000000"/>
                <w:sz w:val="18"/>
              </w:rPr>
              <w:t>Investigation Case</w:t>
            </w:r>
          </w:p>
        </w:tc>
      </w:tr>
    </w:tbl>
    <w:p>
      <w:bookmarkStart w:id="4" w:name="FraudPatterns"/>
      <w:pPr>
        <w:pStyle w:val="Heading1"/>
      </w:pPr>
      <w:r>
        <w:t>4. Fraud Patterns Embedded in the Data</w:t>
      </w:r>
      <w:bookmarkEnd w:id="4"/>
    </w:p>
    <w:tbl>
      <w:tblPr>
        <w:tblW w:type="auto" w:w="0"/>
        <w:jc w:val="center"/>
        <w:tblLayout w:type="fixed"/>
        <w:tblLook w:firstColumn="1" w:firstRow="1" w:lastColumn="0" w:lastRow="0" w:noHBand="0" w:noVBand="1" w:val="04A0"/>
      </w:tblPr>
      <w:tblGrid>
        <w:gridCol w:w="5040"/>
        <w:gridCol w:w="5040"/>
      </w:tblGrid>
      <w:tr>
        <w:tc>
          <w:tcPr>
            <w:tcW w:type="dxa" w:w="2592"/>
            <w:shd w:fill="17365D"/>
            <w:vAlign w:val="center"/>
            <w:tcMar>
              <w:top w:w="100" w:type="dxa"/>
              <w:start w:w="120" w:type="dxa"/>
              <w:bottom w:w="100" w:type="dxa"/>
              <w:end w:w="120" w:type="dxa"/>
            </w:tcMar>
          </w:tcPr>
          <w:p>
            <w:pPr>
              <w:spacing w:after="0"/>
              <w:jc w:val="left"/>
            </w:pPr>
            <w:r/>
            <w:r>
              <w:rPr>
                <w:rFonts w:ascii="Aptos" w:hAnsi="Aptos"/>
                <w:b/>
                <w:color w:val="FFFFFF"/>
                <w:sz w:val="18"/>
              </w:rPr>
              <w:t>Account Takeover</w:t>
            </w:r>
          </w:p>
        </w:tc>
        <w:tc>
          <w:tcPr>
            <w:tcW w:type="dxa" w:w="7776"/>
            <w:shd w:fill="EAF2F8"/>
            <w:vAlign w:val="center"/>
            <w:tcMar>
              <w:top w:w="100" w:type="dxa"/>
              <w:start w:w="120" w:type="dxa"/>
              <w:bottom w:w="100" w:type="dxa"/>
              <w:end w:w="120" w:type="dxa"/>
            </w:tcMar>
          </w:tcPr>
          <w:p>
            <w:pPr>
              <w:spacing w:after="0"/>
              <w:jc w:val="left"/>
            </w:pPr>
            <w:r/>
            <w:r>
              <w:rPr>
                <w:rFonts w:ascii="Aptos" w:hAnsi="Aptos"/>
                <w:b w:val="0"/>
                <w:color w:val="000000"/>
                <w:sz w:val="18"/>
              </w:rPr>
              <w:t>New or untrusted device, geographic deviation, elevated amount and high-risk decision.</w:t>
            </w:r>
          </w:p>
        </w:tc>
      </w:tr>
      <w:tr>
        <w:tc>
          <w:tcPr>
            <w:tcW w:type="dxa" w:w="2592"/>
            <w:shd w:fill="2F75B5"/>
            <w:vAlign w:val="center"/>
            <w:tcMar>
              <w:top w:w="100" w:type="dxa"/>
              <w:start w:w="120" w:type="dxa"/>
              <w:bottom w:w="100" w:type="dxa"/>
              <w:end w:w="120" w:type="dxa"/>
            </w:tcMar>
          </w:tcPr>
          <w:p>
            <w:pPr>
              <w:spacing w:after="0"/>
              <w:jc w:val="left"/>
            </w:pPr>
            <w:r/>
            <w:r>
              <w:rPr>
                <w:rFonts w:ascii="Aptos" w:hAnsi="Aptos"/>
                <w:b/>
                <w:color w:val="FFFFFF"/>
                <w:sz w:val="18"/>
              </w:rPr>
              <w:t>Card-Not-Present Fraud</w:t>
            </w:r>
          </w:p>
        </w:tc>
        <w:tc>
          <w:tcPr>
            <w:tcW w:type="dxa" w:w="7776"/>
            <w:shd w:fill="F2F4F7"/>
            <w:vAlign w:val="center"/>
            <w:tcMar>
              <w:top w:w="100" w:type="dxa"/>
              <w:start w:w="120" w:type="dxa"/>
              <w:bottom w:w="100" w:type="dxa"/>
              <w:end w:w="120" w:type="dxa"/>
            </w:tcMar>
          </w:tcPr>
          <w:p>
            <w:pPr>
              <w:spacing w:after="0"/>
              <w:jc w:val="left"/>
            </w:pPr>
            <w:r/>
            <w:r>
              <w:rPr>
                <w:rFonts w:ascii="Aptos" w:hAnsi="Aptos"/>
                <w:b w:val="0"/>
                <w:color w:val="000000"/>
                <w:sz w:val="18"/>
              </w:rPr>
              <w:t>Remote transaction, new device, location inconsistency and merchant-category exposure.</w:t>
            </w:r>
          </w:p>
        </w:tc>
      </w:tr>
      <w:tr>
        <w:tc>
          <w:tcPr>
            <w:tcW w:type="dxa" w:w="2592"/>
            <w:shd w:fill="17365D"/>
            <w:vAlign w:val="center"/>
            <w:tcMar>
              <w:top w:w="100" w:type="dxa"/>
              <w:start w:w="120" w:type="dxa"/>
              <w:bottom w:w="100" w:type="dxa"/>
              <w:end w:w="120" w:type="dxa"/>
            </w:tcMar>
          </w:tcPr>
          <w:p>
            <w:pPr>
              <w:spacing w:after="0"/>
              <w:jc w:val="left"/>
            </w:pPr>
            <w:r/>
            <w:r>
              <w:rPr>
                <w:rFonts w:ascii="Aptos" w:hAnsi="Aptos"/>
                <w:b/>
                <w:color w:val="FFFFFF"/>
                <w:sz w:val="18"/>
              </w:rPr>
              <w:t>Impossible Travel</w:t>
            </w:r>
          </w:p>
        </w:tc>
        <w:tc>
          <w:tcPr>
            <w:tcW w:type="dxa" w:w="7776"/>
            <w:shd w:fill="EAF2F8"/>
            <w:vAlign w:val="center"/>
            <w:tcMar>
              <w:top w:w="100" w:type="dxa"/>
              <w:start w:w="120" w:type="dxa"/>
              <w:bottom w:w="100" w:type="dxa"/>
              <w:end w:w="120" w:type="dxa"/>
            </w:tcMar>
          </w:tcPr>
          <w:p>
            <w:pPr>
              <w:spacing w:after="0"/>
              <w:jc w:val="left"/>
            </w:pPr>
            <w:r/>
            <w:r>
              <w:rPr>
                <w:rFonts w:ascii="Aptos" w:hAnsi="Aptos"/>
                <w:b w:val="0"/>
                <w:color w:val="000000"/>
                <w:sz w:val="18"/>
              </w:rPr>
              <w:t>Transaction significantly distant from the customer home city, creating a geographic anomaly.</w:t>
            </w:r>
          </w:p>
        </w:tc>
      </w:tr>
      <w:tr>
        <w:tc>
          <w:tcPr>
            <w:tcW w:type="dxa" w:w="2592"/>
            <w:shd w:fill="2F75B5"/>
            <w:vAlign w:val="center"/>
            <w:tcMar>
              <w:top w:w="100" w:type="dxa"/>
              <w:start w:w="120" w:type="dxa"/>
              <w:bottom w:w="100" w:type="dxa"/>
              <w:end w:w="120" w:type="dxa"/>
            </w:tcMar>
          </w:tcPr>
          <w:p>
            <w:pPr>
              <w:spacing w:after="0"/>
              <w:jc w:val="left"/>
            </w:pPr>
            <w:r/>
            <w:r>
              <w:rPr>
                <w:rFonts w:ascii="Aptos" w:hAnsi="Aptos"/>
                <w:b/>
                <w:color w:val="FFFFFF"/>
                <w:sz w:val="18"/>
              </w:rPr>
              <w:t>Velocity Abuse</w:t>
            </w:r>
          </w:p>
        </w:tc>
        <w:tc>
          <w:tcPr>
            <w:tcW w:type="dxa" w:w="7776"/>
            <w:shd w:fill="F2F4F7"/>
            <w:vAlign w:val="center"/>
            <w:tcMar>
              <w:top w:w="100" w:type="dxa"/>
              <w:start w:w="120" w:type="dxa"/>
              <w:bottom w:w="100" w:type="dxa"/>
              <w:end w:w="120" w:type="dxa"/>
            </w:tcMar>
          </w:tcPr>
          <w:p>
            <w:pPr>
              <w:spacing w:after="0"/>
              <w:jc w:val="left"/>
            </w:pPr>
            <w:r/>
            <w:r>
              <w:rPr>
                <w:rFonts w:ascii="Aptos" w:hAnsi="Aptos"/>
                <w:b w:val="0"/>
                <w:color w:val="000000"/>
                <w:sz w:val="18"/>
              </w:rPr>
              <w:t>Multiple transactions in a short period, reflected in an elevated one-hour transaction count.</w:t>
            </w:r>
          </w:p>
        </w:tc>
      </w:tr>
      <w:tr>
        <w:tc>
          <w:tcPr>
            <w:tcW w:type="dxa" w:w="2592"/>
            <w:shd w:fill="17365D"/>
            <w:vAlign w:val="center"/>
            <w:tcMar>
              <w:top w:w="100" w:type="dxa"/>
              <w:start w:w="120" w:type="dxa"/>
              <w:bottom w:w="100" w:type="dxa"/>
              <w:end w:w="120" w:type="dxa"/>
            </w:tcMar>
          </w:tcPr>
          <w:p>
            <w:pPr>
              <w:spacing w:after="0"/>
              <w:jc w:val="left"/>
            </w:pPr>
            <w:r/>
            <w:r>
              <w:rPr>
                <w:rFonts w:ascii="Aptos" w:hAnsi="Aptos"/>
                <w:b/>
                <w:color w:val="FFFFFF"/>
                <w:sz w:val="18"/>
              </w:rPr>
              <w:t>Mule Transfer</w:t>
            </w:r>
          </w:p>
        </w:tc>
        <w:tc>
          <w:tcPr>
            <w:tcW w:type="dxa" w:w="7776"/>
            <w:shd w:fill="EAF2F8"/>
            <w:vAlign w:val="center"/>
            <w:tcMar>
              <w:top w:w="100" w:type="dxa"/>
              <w:start w:w="120" w:type="dxa"/>
              <w:bottom w:w="100" w:type="dxa"/>
              <w:end w:w="120" w:type="dxa"/>
            </w:tcMar>
          </w:tcPr>
          <w:p>
            <w:pPr>
              <w:spacing w:after="0"/>
              <w:jc w:val="left"/>
            </w:pPr>
            <w:r/>
            <w:r>
              <w:rPr>
                <w:rFonts w:ascii="Aptos" w:hAnsi="Aptos"/>
                <w:b w:val="0"/>
                <w:color w:val="000000"/>
                <w:sz w:val="18"/>
              </w:rPr>
              <w:t>High-value transfer behaviour with customer and account exposure requiring investigation.</w:t>
            </w:r>
          </w:p>
        </w:tc>
      </w:tr>
      <w:tr>
        <w:tc>
          <w:tcPr>
            <w:tcW w:type="dxa" w:w="2592"/>
            <w:shd w:fill="2F75B5"/>
            <w:vAlign w:val="center"/>
            <w:tcMar>
              <w:top w:w="100" w:type="dxa"/>
              <w:start w:w="120" w:type="dxa"/>
              <w:bottom w:w="100" w:type="dxa"/>
              <w:end w:w="120" w:type="dxa"/>
            </w:tcMar>
          </w:tcPr>
          <w:p>
            <w:pPr>
              <w:spacing w:after="0"/>
              <w:jc w:val="left"/>
            </w:pPr>
            <w:r/>
            <w:r>
              <w:rPr>
                <w:rFonts w:ascii="Aptos" w:hAnsi="Aptos"/>
                <w:b/>
                <w:color w:val="FFFFFF"/>
                <w:sz w:val="18"/>
              </w:rPr>
              <w:t>Card Testing</w:t>
            </w:r>
          </w:p>
        </w:tc>
        <w:tc>
          <w:tcPr>
            <w:tcW w:type="dxa" w:w="7776"/>
            <w:shd w:fill="F2F4F7"/>
            <w:vAlign w:val="center"/>
            <w:tcMar>
              <w:top w:w="100" w:type="dxa"/>
              <w:start w:w="120" w:type="dxa"/>
              <w:bottom w:w="100" w:type="dxa"/>
              <w:end w:w="120" w:type="dxa"/>
            </w:tcMar>
          </w:tcPr>
          <w:p>
            <w:pPr>
              <w:spacing w:after="0"/>
              <w:jc w:val="left"/>
            </w:pPr>
            <w:r/>
            <w:r>
              <w:rPr>
                <w:rFonts w:ascii="Aptos" w:hAnsi="Aptos"/>
                <w:b w:val="0"/>
                <w:color w:val="000000"/>
                <w:sz w:val="18"/>
              </w:rPr>
              <w:t>Repeated low-value payment attempts combined with high short-period velocity.</w:t>
            </w:r>
          </w:p>
        </w:tc>
      </w:tr>
      <w:tr>
        <w:tc>
          <w:tcPr>
            <w:tcW w:type="dxa" w:w="2592"/>
            <w:shd w:fill="17365D"/>
            <w:vAlign w:val="center"/>
            <w:tcMar>
              <w:top w:w="100" w:type="dxa"/>
              <w:start w:w="120" w:type="dxa"/>
              <w:bottom w:w="100" w:type="dxa"/>
              <w:end w:w="120" w:type="dxa"/>
            </w:tcMar>
          </w:tcPr>
          <w:p>
            <w:pPr>
              <w:spacing w:after="0"/>
              <w:jc w:val="left"/>
            </w:pPr>
            <w:r/>
            <w:r>
              <w:rPr>
                <w:rFonts w:ascii="Aptos" w:hAnsi="Aptos"/>
                <w:b/>
                <w:color w:val="FFFFFF"/>
                <w:sz w:val="18"/>
              </w:rPr>
              <w:t>ATM Cash-Out</w:t>
            </w:r>
          </w:p>
        </w:tc>
        <w:tc>
          <w:tcPr>
            <w:tcW w:type="dxa" w:w="7776"/>
            <w:shd w:fill="EAF2F8"/>
            <w:vAlign w:val="center"/>
            <w:tcMar>
              <w:top w:w="100" w:type="dxa"/>
              <w:start w:w="120" w:type="dxa"/>
              <w:bottom w:w="100" w:type="dxa"/>
              <w:end w:w="120" w:type="dxa"/>
            </w:tcMar>
          </w:tcPr>
          <w:p>
            <w:pPr>
              <w:spacing w:after="0"/>
              <w:jc w:val="left"/>
            </w:pPr>
            <w:r/>
            <w:r>
              <w:rPr>
                <w:rFonts w:ascii="Aptos" w:hAnsi="Aptos"/>
                <w:b w:val="0"/>
                <w:color w:val="000000"/>
                <w:sz w:val="18"/>
              </w:rPr>
              <w:t>High-value cash withdrawal, potentially combined with unusual time or location.</w:t>
            </w:r>
          </w:p>
        </w:tc>
      </w:tr>
      <w:tr>
        <w:tc>
          <w:tcPr>
            <w:tcW w:type="dxa" w:w="2592"/>
            <w:shd w:fill="2F75B5"/>
            <w:vAlign w:val="center"/>
            <w:tcMar>
              <w:top w:w="100" w:type="dxa"/>
              <w:start w:w="120" w:type="dxa"/>
              <w:bottom w:w="100" w:type="dxa"/>
              <w:end w:w="120" w:type="dxa"/>
            </w:tcMar>
          </w:tcPr>
          <w:p>
            <w:pPr>
              <w:spacing w:after="0"/>
              <w:jc w:val="left"/>
            </w:pPr>
            <w:r/>
            <w:r>
              <w:rPr>
                <w:rFonts w:ascii="Aptos" w:hAnsi="Aptos"/>
                <w:b/>
                <w:color w:val="FFFFFF"/>
                <w:sz w:val="18"/>
              </w:rPr>
              <w:t>Merchant Collusion</w:t>
            </w:r>
          </w:p>
        </w:tc>
        <w:tc>
          <w:tcPr>
            <w:tcW w:type="dxa" w:w="7776"/>
            <w:shd w:fill="F2F4F7"/>
            <w:vAlign w:val="center"/>
            <w:tcMar>
              <w:top w:w="100" w:type="dxa"/>
              <w:start w:w="120" w:type="dxa"/>
              <w:bottom w:w="100" w:type="dxa"/>
              <w:end w:w="120" w:type="dxa"/>
            </w:tcMar>
          </w:tcPr>
          <w:p>
            <w:pPr>
              <w:spacing w:after="0"/>
              <w:jc w:val="left"/>
            </w:pPr>
            <w:r/>
            <w:r>
              <w:rPr>
                <w:rFonts w:ascii="Aptos" w:hAnsi="Aptos"/>
                <w:b w:val="0"/>
                <w:color w:val="000000"/>
                <w:sz w:val="18"/>
              </w:rPr>
              <w:t>Elevated-value activity concentrated at suspicious merchants or merchant categories.</w:t>
            </w:r>
          </w:p>
        </w:tc>
      </w:tr>
    </w:tbl>
    <w:p>
      <w:pPr>
        <w:pStyle w:val="Callout"/>
      </w:pPr>
      <w:r>
        <w:rPr>
          <w:b/>
        </w:rPr>
        <w:t xml:space="preserve">Demonstration note: </w:t>
      </w:r>
      <w:r>
        <w:t>The patterns are intentionally observable so a live audience can follow the signal, decision and investigation path. Production fraud controls require bank-specific tuning, validation, governance and regulatory approval.</w:t>
      </w:r>
    </w:p>
    <w:p>
      <w:bookmarkStart w:id="5" w:name="PlatformFlow"/>
      <w:pPr>
        <w:pStyle w:val="Heading1"/>
      </w:pPr>
      <w:r>
        <w:t>5. End-to-End Platform Realization</w:t>
      </w:r>
      <w:bookmarkEnd w:id="5"/>
    </w:p>
    <w:p>
      <w:pPr>
        <w:jc w:val="center"/>
      </w:pPr>
      <w:r>
        <w:drawing>
          <wp:inline xmlns:a="http://schemas.openxmlformats.org/drawingml/2006/main" xmlns:pic="http://schemas.openxmlformats.org/drawingml/2006/picture">
            <wp:extent cx="6537960" cy="318398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37960" cy="3183987"/>
                    </a:xfrm>
                    <a:prstGeom prst="rect"/>
                  </pic:spPr>
                </pic:pic>
              </a:graphicData>
            </a:graphic>
          </wp:inline>
        </w:drawing>
      </w:r>
    </w:p>
    <w:p>
      <w:pPr>
        <w:jc w:val="center"/>
      </w:pPr>
      <w:r>
        <w:rPr>
          <w:i/>
          <w:sz w:val="16"/>
        </w:rPr>
        <w:t>Figure 1. Apache-based platform reference architecture used for the fraud analytics showcase.</w:t>
      </w:r>
    </w:p>
    <w:tbl>
      <w:tblPr>
        <w:tblW w:type="auto" w:w="0"/>
        <w:jc w:val="center"/>
        <w:tblLook w:firstColumn="1" w:firstRow="1" w:lastColumn="0" w:lastRow="0" w:noHBand="0" w:noVBand="1" w:val="04A0"/>
      </w:tblPr>
      <w:tblGrid>
        <w:gridCol w:w="5040"/>
        <w:gridCol w:w="5040"/>
      </w:tblGrid>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1. Ingest</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NiFi loads batch master data. Kafka streams transaction events. Kafka Connect routes events to storage and serving layers.</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2. Orchestrate</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Airflow coordinates validation, cleansing, enrichment, feature generation, scoring and gold-table publication.</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3. Persist</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HDFS or Ceph provides distributed storage. Iceberg manages lakehouse tables, schema evolution and governed historical data.</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4. Process</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Spark performs batch cleansing, joins and feature engineering. Flink performs streaming velocity, device and geographic checks.</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5. Serve</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ClickHouse supports low-latency analytical queries. Hive supports SQL access to lake data.</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6. Consume</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Superset provides role-based dashboards. Jupyter supports exploration, model development and explainability.</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7. Govern</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Atlas or DataHub catalogs datasets and lineage. Ranger supports access control, masking and audit policy.</w:t>
            </w:r>
          </w:p>
        </w:tc>
      </w:tr>
      <w:tr>
        <w:tc>
          <w:tcPr>
            <w:tcW w:type="dxa" w:w="1656"/>
            <w:shd w:fill="008C95"/>
            <w:vAlign w:val="center"/>
            <w:tcMar>
              <w:top w:w="100" w:type="dxa"/>
              <w:start w:w="120" w:type="dxa"/>
              <w:bottom w:w="100" w:type="dxa"/>
              <w:end w:w="120" w:type="dxa"/>
            </w:tcMar>
          </w:tcPr>
          <w:p>
            <w:pPr>
              <w:spacing w:after="0"/>
              <w:jc w:val="left"/>
            </w:pPr>
            <w:r/>
            <w:r>
              <w:rPr>
                <w:rFonts w:ascii="Aptos" w:hAnsi="Aptos"/>
                <w:b/>
                <w:color w:val="FFFFFF"/>
                <w:sz w:val="18"/>
              </w:rPr>
              <w:t>8. Operate</w:t>
            </w:r>
          </w:p>
        </w:tc>
        <w:tc>
          <w:tcPr>
            <w:tcW w:type="dxa" w:w="8640"/>
            <w:vAlign w:val="center"/>
            <w:tcMar>
              <w:top w:w="100" w:type="dxa"/>
              <w:start w:w="120" w:type="dxa"/>
              <w:bottom w:w="100" w:type="dxa"/>
              <w:end w:w="120" w:type="dxa"/>
            </w:tcMar>
          </w:tcPr>
          <w:p>
            <w:pPr>
              <w:spacing w:after="0"/>
              <w:jc w:val="left"/>
            </w:pPr>
            <w:r/>
            <w:r>
              <w:rPr>
                <w:rFonts w:ascii="Aptos" w:hAnsi="Aptos"/>
                <w:b w:val="0"/>
                <w:color w:val="000000"/>
                <w:sz w:val="18"/>
              </w:rPr>
              <w:t>Prometheus, Grafana, OpenSearch, Alertmanager, Jenkins, GitLab, Ansible and Terraform support operational management.</w:t>
            </w:r>
          </w:p>
        </w:tc>
      </w:tr>
    </w:tbl>
    <w:p>
      <w:pPr>
        <w:pStyle w:val="Heading2"/>
      </w:pPr>
      <w:r>
        <w:t>5.1 Data-Zone Design</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Zone</w:t>
            </w:r>
          </w:p>
        </w:tc>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Purpose</w:t>
            </w:r>
          </w:p>
        </w:tc>
        <w:tc>
          <w:tcPr>
            <w:tcW w:type="dxa" w:w="3360"/>
            <w:vAlign w:val="center"/>
            <w:tcMar>
              <w:top w:w="100" w:type="dxa"/>
              <w:start w:w="120" w:type="dxa"/>
              <w:bottom w:w="100" w:type="dxa"/>
              <w:end w:w="120" w:type="dxa"/>
            </w:tcMar>
            <w:shd w:fill="17365D"/>
          </w:tcPr>
          <w:p>
            <w:pPr>
              <w:spacing w:after="0"/>
              <w:jc w:val="left"/>
            </w:pPr>
            <w:r/>
            <w:r>
              <w:rPr>
                <w:rFonts w:ascii="Aptos" w:hAnsi="Aptos"/>
                <w:b/>
                <w:color w:val="FFFFFF"/>
                <w:sz w:val="18"/>
              </w:rPr>
              <w:t>Illustrative Format</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Raw / Landing</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Immutable source capture, replay, audit and source fidelity.</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CSV, JSON, Avro or Parquet</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Processed / Cleansed</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Standardized schemas, validation, deduplication and quality controls.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Parquet or Iceberg</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Curated / Trusted</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Business-aligned facts and dimensions with governed joins.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Iceberg tables</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Analytics / Gold</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Aggregated, optimized KPI and feature datasets.</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ClickHouse and Iceberg</w:t>
            </w:r>
          </w:p>
        </w:tc>
      </w:tr>
      <w:tr>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Archive / Immutable</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Long-term retention, compliance evidence and legal hold.</w:t>
            </w:r>
          </w:p>
        </w:tc>
        <w:tc>
          <w:tcPr>
            <w:tcW w:type="dxa" w:w="3360"/>
            <w:vAlign w:val="center"/>
            <w:tcMar>
              <w:top w:w="100" w:type="dxa"/>
              <w:start w:w="120" w:type="dxa"/>
              <w:bottom w:w="100" w:type="dxa"/>
              <w:end w:w="120" w:type="dxa"/>
            </w:tcMar>
          </w:tcPr>
          <w:p>
            <w:pPr>
              <w:spacing w:after="0"/>
              <w:jc w:val="left"/>
            </w:pPr>
            <w:r/>
            <w:r>
              <w:rPr>
                <w:rFonts w:ascii="Aptos" w:hAnsi="Aptos"/>
                <w:b w:val="0"/>
                <w:color w:val="000000"/>
                <w:sz w:val="17"/>
              </w:rPr>
              <w:t>WORM-aligned object storage</w:t>
            </w:r>
          </w:p>
        </w:tc>
      </w:tr>
    </w:tbl>
    <w:p>
      <w:bookmarkStart w:id="6" w:name="Processing"/>
      <w:pPr>
        <w:pStyle w:val="Heading1"/>
      </w:pPr>
      <w:r>
        <w:t>6. Data Processing and Fraud Decisioning</w:t>
      </w:r>
      <w:bookmarkEnd w:id="6"/>
    </w:p>
    <w:p>
      <w:pPr>
        <w:pStyle w:val="Heading2"/>
      </w:pPr>
      <w:r>
        <w:t>6.1 Batch Processing</w:t>
      </w:r>
    </w:p>
    <w:p>
      <w:pPr>
        <w:pStyle w:val="ListBullet"/>
      </w:pPr>
      <w:r>
        <w:t>Validate mandatory identifiers and timestamps.</w:t>
      </w:r>
    </w:p>
    <w:p>
      <w:pPr>
        <w:pStyle w:val="ListBullet"/>
      </w:pPr>
      <w:r>
        <w:t>Standardize currency, channel, transaction and merchant attributes.</w:t>
      </w:r>
    </w:p>
    <w:p>
      <w:pPr>
        <w:pStyle w:val="ListBullet"/>
      </w:pPr>
      <w:r>
        <w:t>Reject malformed or duplicate records and publish data-quality statistics.</w:t>
      </w:r>
    </w:p>
    <w:p>
      <w:pPr>
        <w:pStyle w:val="ListBullet"/>
      </w:pPr>
      <w:r>
        <w:t>Validate customer-account, customer-device and merchant-transaction relationships.</w:t>
      </w:r>
    </w:p>
    <w:p>
      <w:pPr>
        <w:pStyle w:val="ListBullet"/>
      </w:pPr>
      <w:r>
        <w:t>Convert raw formats into columnar formats and Iceberg tables.</w:t>
      </w:r>
    </w:p>
    <w:p>
      <w:pPr>
        <w:pStyle w:val="ListBullet"/>
      </w:pPr>
      <w:r>
        <w:t>Enrich transactions with customer, account, device, merchant and geographic context.</w:t>
      </w:r>
    </w:p>
    <w:p>
      <w:pPr>
        <w:pStyle w:val="ListBullet"/>
      </w:pPr>
      <w:r>
        <w:t>Publish customer, account, merchant, fraud-event, alert and case facts and dimensions.</w:t>
      </w:r>
    </w:p>
    <w:p>
      <w:pPr>
        <w:pStyle w:val="Heading2"/>
      </w:pPr>
      <w:r>
        <w:t>6.2 Streaming Features</w:t>
      </w:r>
    </w:p>
    <w:p>
      <w:pPr>
        <w:pStyle w:val="ListBullet"/>
      </w:pPr>
      <w:r>
        <w:t>Transaction count in rolling 5, 15 and 60-minute windows</w:t>
      </w:r>
    </w:p>
    <w:p>
      <w:pPr>
        <w:pStyle w:val="ListBullet"/>
      </w:pPr>
      <w:r>
        <w:t>Value transacted in rolling windows</w:t>
      </w:r>
    </w:p>
    <w:p>
      <w:pPr>
        <w:pStyle w:val="ListBullet"/>
      </w:pPr>
      <w:r>
        <w:t>New or untrusted device</w:t>
      </w:r>
    </w:p>
    <w:p>
      <w:pPr>
        <w:pStyle w:val="ListBullet"/>
      </w:pPr>
      <w:r>
        <w:t>Distance from home or prior transaction</w:t>
      </w:r>
    </w:p>
    <w:p>
      <w:pPr>
        <w:pStyle w:val="ListBullet"/>
      </w:pPr>
      <w:r>
        <w:t>Unusual-hour activity</w:t>
      </w:r>
    </w:p>
    <w:p>
      <w:pPr>
        <w:pStyle w:val="ListBullet"/>
      </w:pPr>
      <w:r>
        <w:t>High-risk merchant interaction</w:t>
      </w:r>
    </w:p>
    <w:p>
      <w:pPr>
        <w:pStyle w:val="ListBullet"/>
      </w:pPr>
      <w:r>
        <w:t>Rapid low-value transaction sequence</w:t>
      </w:r>
    </w:p>
    <w:p>
      <w:pPr>
        <w:pStyle w:val="ListBullet"/>
      </w:pPr>
      <w:r>
        <w:t>Repeated declines or channel switching</w:t>
      </w:r>
    </w:p>
    <w:p>
      <w:pPr>
        <w:pStyle w:val="ListBullet"/>
      </w:pPr>
      <w:r>
        <w:t>Customer-relative amount deviation</w:t>
      </w:r>
    </w:p>
    <w:p>
      <w:pPr>
        <w:pStyle w:val="ListBullet"/>
      </w:pPr>
      <w:r>
        <w:t>Composite risk-score threshold breach</w:t>
      </w:r>
    </w:p>
    <w:p>
      <w:pPr>
        <w:pStyle w:val="Heading2"/>
      </w:pPr>
      <w:r>
        <w:t>6.3 Illustrative Decision Policy</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00" w:type="dxa"/>
              <w:start w:w="120" w:type="dxa"/>
              <w:bottom w:w="100" w:type="dxa"/>
              <w:end w:w="120" w:type="dxa"/>
            </w:tcMar>
            <w:shd w:fill="17365D"/>
          </w:tcPr>
          <w:p>
            <w:pPr>
              <w:spacing w:after="0"/>
              <w:jc w:val="center"/>
            </w:pPr>
            <w:r/>
            <w:r>
              <w:rPr>
                <w:rFonts w:ascii="Aptos" w:hAnsi="Aptos"/>
                <w:b/>
                <w:color w:val="FFFFFF"/>
                <w:sz w:val="18"/>
              </w:rPr>
              <w:t>Risk Score</w:t>
            </w:r>
          </w:p>
        </w:tc>
        <w:tc>
          <w:tcPr>
            <w:tcW w:type="dxa" w:w="3360"/>
            <w:vAlign w:val="center"/>
            <w:tcMar>
              <w:top w:w="100" w:type="dxa"/>
              <w:start w:w="120" w:type="dxa"/>
              <w:bottom w:w="100" w:type="dxa"/>
              <w:end w:w="120" w:type="dxa"/>
            </w:tcMar>
            <w:shd w:fill="17365D"/>
          </w:tcPr>
          <w:p>
            <w:pPr>
              <w:spacing w:after="0"/>
              <w:jc w:val="center"/>
            </w:pPr>
            <w:r/>
            <w:r>
              <w:rPr>
                <w:rFonts w:ascii="Aptos" w:hAnsi="Aptos"/>
                <w:b/>
                <w:color w:val="FFFFFF"/>
                <w:sz w:val="18"/>
              </w:rPr>
              <w:t>Decision</w:t>
            </w:r>
          </w:p>
        </w:tc>
        <w:tc>
          <w:tcPr>
            <w:tcW w:type="dxa" w:w="3360"/>
            <w:vAlign w:val="center"/>
            <w:tcMar>
              <w:top w:w="100" w:type="dxa"/>
              <w:start w:w="120" w:type="dxa"/>
              <w:bottom w:w="100" w:type="dxa"/>
              <w:end w:w="120" w:type="dxa"/>
            </w:tcMar>
            <w:shd w:fill="17365D"/>
          </w:tcPr>
          <w:p>
            <w:pPr>
              <w:spacing w:after="0"/>
              <w:jc w:val="center"/>
            </w:pPr>
            <w:r/>
            <w:r>
              <w:rPr>
                <w:rFonts w:ascii="Aptos" w:hAnsi="Aptos"/>
                <w:b/>
                <w:color w:val="FFFFFF"/>
                <w:sz w:val="18"/>
              </w:rPr>
              <w:t>Example Treatment</w:t>
            </w:r>
          </w:p>
        </w:tc>
      </w:tr>
      <w:tr>
        <w:tc>
          <w:tcPr>
            <w:tcW w:type="dxa" w:w="3360"/>
            <w:shd w:fill="E8F5F2"/>
            <w:vAlign w:val="center"/>
            <w:tcMar>
              <w:top w:w="100" w:type="dxa"/>
              <w:start w:w="120" w:type="dxa"/>
              <w:bottom w:w="100" w:type="dxa"/>
              <w:end w:w="120" w:type="dxa"/>
            </w:tcMar>
          </w:tcPr>
          <w:p>
            <w:pPr>
              <w:spacing w:after="0"/>
              <w:jc w:val="center"/>
            </w:pPr>
            <w:r/>
            <w:r>
              <w:rPr>
                <w:rFonts w:ascii="Aptos" w:hAnsi="Aptos"/>
                <w:b w:val="0"/>
                <w:color w:val="17365D"/>
                <w:sz w:val="18"/>
              </w:rPr>
              <w:t>Below 65</w:t>
            </w:r>
          </w:p>
        </w:tc>
        <w:tc>
          <w:tcPr>
            <w:tcW w:type="dxa" w:w="3360"/>
            <w:shd w:fill="E8F5F2"/>
            <w:vAlign w:val="center"/>
            <w:tcMar>
              <w:top w:w="100" w:type="dxa"/>
              <w:start w:w="120" w:type="dxa"/>
              <w:bottom w:w="100" w:type="dxa"/>
              <w:end w:w="120" w:type="dxa"/>
            </w:tcMar>
          </w:tcPr>
          <w:p>
            <w:pPr>
              <w:spacing w:after="0"/>
              <w:jc w:val="center"/>
            </w:pPr>
            <w:r/>
            <w:r>
              <w:rPr>
                <w:rFonts w:ascii="Aptos" w:hAnsi="Aptos"/>
                <w:b/>
                <w:color w:val="17365D"/>
                <w:sz w:val="18"/>
              </w:rPr>
              <w:t>APPROVE</w:t>
            </w:r>
          </w:p>
        </w:tc>
        <w:tc>
          <w:tcPr>
            <w:tcW w:type="dxa" w:w="3360"/>
            <w:shd w:fill="E8F5F2"/>
            <w:vAlign w:val="center"/>
            <w:tcMar>
              <w:top w:w="100" w:type="dxa"/>
              <w:start w:w="120" w:type="dxa"/>
              <w:bottom w:w="100" w:type="dxa"/>
              <w:end w:w="120" w:type="dxa"/>
            </w:tcMar>
          </w:tcPr>
          <w:p>
            <w:pPr>
              <w:spacing w:after="0"/>
              <w:jc w:val="center"/>
            </w:pPr>
            <w:r/>
            <w:r>
              <w:rPr>
                <w:rFonts w:ascii="Aptos" w:hAnsi="Aptos"/>
                <w:b w:val="0"/>
                <w:color w:val="17365D"/>
                <w:sz w:val="18"/>
              </w:rPr>
              <w:t>Proceed and retain decision evidence</w:t>
            </w:r>
          </w:p>
        </w:tc>
      </w:tr>
      <w:tr>
        <w:tc>
          <w:tcPr>
            <w:tcW w:type="dxa" w:w="3360"/>
            <w:shd w:fill="EAF2F8"/>
            <w:vAlign w:val="center"/>
            <w:tcMar>
              <w:top w:w="100" w:type="dxa"/>
              <w:start w:w="120" w:type="dxa"/>
              <w:bottom w:w="100" w:type="dxa"/>
              <w:end w:w="120" w:type="dxa"/>
            </w:tcMar>
          </w:tcPr>
          <w:p>
            <w:pPr>
              <w:spacing w:after="0"/>
              <w:jc w:val="center"/>
            </w:pPr>
            <w:r/>
            <w:r>
              <w:rPr>
                <w:rFonts w:ascii="Aptos" w:hAnsi="Aptos"/>
                <w:b w:val="0"/>
                <w:color w:val="17365D"/>
                <w:sz w:val="18"/>
              </w:rPr>
              <w:t>65 to 84.9</w:t>
            </w:r>
          </w:p>
        </w:tc>
        <w:tc>
          <w:tcPr>
            <w:tcW w:type="dxa" w:w="3360"/>
            <w:shd w:fill="EAF2F8"/>
            <w:vAlign w:val="center"/>
            <w:tcMar>
              <w:top w:w="100" w:type="dxa"/>
              <w:start w:w="120" w:type="dxa"/>
              <w:bottom w:w="100" w:type="dxa"/>
              <w:end w:w="120" w:type="dxa"/>
            </w:tcMar>
          </w:tcPr>
          <w:p>
            <w:pPr>
              <w:spacing w:after="0"/>
              <w:jc w:val="center"/>
            </w:pPr>
            <w:r/>
            <w:r>
              <w:rPr>
                <w:rFonts w:ascii="Aptos" w:hAnsi="Aptos"/>
                <w:b/>
                <w:color w:val="17365D"/>
                <w:sz w:val="18"/>
              </w:rPr>
              <w:t>CHALLENGE</w:t>
            </w:r>
          </w:p>
        </w:tc>
        <w:tc>
          <w:tcPr>
            <w:tcW w:type="dxa" w:w="3360"/>
            <w:shd w:fill="EAF2F8"/>
            <w:vAlign w:val="center"/>
            <w:tcMar>
              <w:top w:w="100" w:type="dxa"/>
              <w:start w:w="120" w:type="dxa"/>
              <w:bottom w:w="100" w:type="dxa"/>
              <w:end w:w="120" w:type="dxa"/>
            </w:tcMar>
          </w:tcPr>
          <w:p>
            <w:pPr>
              <w:spacing w:after="0"/>
              <w:jc w:val="center"/>
            </w:pPr>
            <w:r/>
            <w:r>
              <w:rPr>
                <w:rFonts w:ascii="Aptos" w:hAnsi="Aptos"/>
                <w:b w:val="0"/>
                <w:color w:val="17365D"/>
                <w:sz w:val="18"/>
              </w:rPr>
              <w:t>Apply step-up verification or manual review</w:t>
            </w:r>
          </w:p>
        </w:tc>
      </w:tr>
      <w:tr>
        <w:tc>
          <w:tcPr>
            <w:tcW w:type="dxa" w:w="3360"/>
            <w:shd w:fill="FCE4D6"/>
            <w:vAlign w:val="center"/>
            <w:tcMar>
              <w:top w:w="100" w:type="dxa"/>
              <w:start w:w="120" w:type="dxa"/>
              <w:bottom w:w="100" w:type="dxa"/>
              <w:end w:w="120" w:type="dxa"/>
            </w:tcMar>
          </w:tcPr>
          <w:p>
            <w:pPr>
              <w:spacing w:after="0"/>
              <w:jc w:val="center"/>
            </w:pPr>
            <w:r/>
            <w:r>
              <w:rPr>
                <w:rFonts w:ascii="Aptos" w:hAnsi="Aptos"/>
                <w:b w:val="0"/>
                <w:color w:val="17365D"/>
                <w:sz w:val="18"/>
              </w:rPr>
              <w:t>85 or above</w:t>
            </w:r>
          </w:p>
        </w:tc>
        <w:tc>
          <w:tcPr>
            <w:tcW w:type="dxa" w:w="3360"/>
            <w:shd w:fill="FCE4D6"/>
            <w:vAlign w:val="center"/>
            <w:tcMar>
              <w:top w:w="100" w:type="dxa"/>
              <w:start w:w="120" w:type="dxa"/>
              <w:bottom w:w="100" w:type="dxa"/>
              <w:end w:w="120" w:type="dxa"/>
            </w:tcMar>
          </w:tcPr>
          <w:p>
            <w:pPr>
              <w:spacing w:after="0"/>
              <w:jc w:val="center"/>
            </w:pPr>
            <w:r/>
            <w:r>
              <w:rPr>
                <w:rFonts w:ascii="Aptos" w:hAnsi="Aptos"/>
                <w:b/>
                <w:color w:val="17365D"/>
                <w:sz w:val="18"/>
              </w:rPr>
              <w:t>DECLINE</w:t>
            </w:r>
          </w:p>
        </w:tc>
        <w:tc>
          <w:tcPr>
            <w:tcW w:type="dxa" w:w="3360"/>
            <w:shd w:fill="FCE4D6"/>
            <w:vAlign w:val="center"/>
            <w:tcMar>
              <w:top w:w="100" w:type="dxa"/>
              <w:start w:w="120" w:type="dxa"/>
              <w:bottom w:w="100" w:type="dxa"/>
              <w:end w:w="120" w:type="dxa"/>
            </w:tcMar>
          </w:tcPr>
          <w:p>
            <w:pPr>
              <w:spacing w:after="0"/>
              <w:jc w:val="center"/>
            </w:pPr>
            <w:r/>
            <w:r>
              <w:rPr>
                <w:rFonts w:ascii="Aptos" w:hAnsi="Aptos"/>
                <w:b w:val="0"/>
                <w:color w:val="17365D"/>
                <w:sz w:val="18"/>
              </w:rPr>
              <w:t>Block or hold and trigger a high-priority alert</w:t>
            </w:r>
          </w:p>
        </w:tc>
      </w:tr>
    </w:tbl>
    <w:p>
      <w:pPr>
        <w:pStyle w:val="Callout"/>
      </w:pPr>
      <w:r>
        <w:rPr>
          <w:b/>
        </w:rPr>
        <w:t xml:space="preserve">Control caveat: </w:t>
      </w:r>
      <w:r>
        <w:t>These thresholds are illustrative and must not be interpreted as production decision criteria.</w:t>
      </w:r>
    </w:p>
    <w:p>
      <w:bookmarkStart w:id="7" w:name="Dashboards"/>
      <w:pPr>
        <w:pStyle w:val="Heading1"/>
      </w:pPr>
      <w:r>
        <w:t>7. Apache Superset Dashboard Catalogue</w:t>
      </w:r>
      <w:bookmarkEnd w:id="7"/>
    </w:p>
    <w:p>
      <w:r>
        <w:t>The dashboard suite is organized by decision-maker and should be presented as a connected story rather than a collection of independent charts. Global filters should include date and time, channel, city and state, fraud type, risk-score range, decision, transaction status, merchant category and device-trust status.</w:t>
      </w:r>
    </w:p>
    <w:p>
      <w:pPr>
        <w:pStyle w:val="Heading2"/>
      </w:pPr>
      <w:r>
        <w:t>7.1 Executive Fraud Command Centre</w:t>
      </w:r>
    </w:p>
    <w:p>
      <w:r>
        <w:rPr>
          <w:b/>
        </w:rPr>
        <w:t xml:space="preserve">Audience: </w:t>
      </w:r>
      <w:r>
        <w:t>CXO, Head of Risk, Head of Fraud, Compliance</w:t>
      </w:r>
    </w:p>
    <w:p>
      <w:r>
        <w:rPr>
          <w:b/>
        </w:rPr>
        <w:t xml:space="preserve">Business question: </w:t>
      </w:r>
      <w:r>
        <w:t>How much fraud exposure exists, where is it changing and what requires leadership attention?</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Total transaction value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amount and count over time</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Transaction count</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rate by channel</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Suspected fraud value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Top fraud typologies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count and rate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Geographic fraud heatmap</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Declined transaction value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Decision distribution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Open and critical alerts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Critical-alert aging</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Confirmed loss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by customer segment</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Prevented amount</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Top risky customers and merchants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Average risk score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r>
    </w:tbl>
    <w:p>
      <w:pPr>
        <w:pStyle w:val="Heading2"/>
      </w:pPr>
      <w:r>
        <w:t>7.2 Real-Time Transaction Risk</w:t>
      </w:r>
    </w:p>
    <w:p>
      <w:r>
        <w:rPr>
          <w:b/>
        </w:rPr>
        <w:t xml:space="preserve">Audience: </w:t>
      </w:r>
      <w:r>
        <w:t>Fraud monitoring team</w:t>
      </w:r>
    </w:p>
    <w:p>
      <w:r>
        <w:rPr>
          <w:b/>
        </w:rPr>
        <w:t xml:space="preserve">Business question: </w:t>
      </w:r>
      <w:r>
        <w:t>Which transactions require immediate intervention?</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Transactions per minute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Live high-risk transaction table</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High-risk transactions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Risk-score histogram</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Challenges and declines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Approve/challenge/decline funnel</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New-device events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Hourly trend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Velocity alerts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Unusual-hour activity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Geographic anomaly map</w:t>
            </w:r>
          </w:p>
        </w:tc>
      </w:tr>
    </w:tbl>
    <w:p>
      <w:pPr>
        <w:pStyle w:val="Heading2"/>
      </w:pPr>
      <w:r>
        <w:t>7.3 Fraud Typology and Root Cause</w:t>
      </w:r>
    </w:p>
    <w:p>
      <w:r>
        <w:rPr>
          <w:b/>
        </w:rPr>
        <w:t xml:space="preserve">Audience: </w:t>
      </w:r>
      <w:r>
        <w:t>Fraud strategy and data science</w:t>
      </w:r>
    </w:p>
    <w:p>
      <w:r>
        <w:rPr>
          <w:b/>
        </w:rPr>
        <w:t xml:space="preserve">Business question: </w:t>
      </w:r>
      <w:r>
        <w:t>Which fraud patterns and signals are driving alerts and losses?</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events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typology treemap</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Estimated exposure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type by channel</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Detection-method mix</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Primary-reason heatmap</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Top reason</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Amount versus risk scatter</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by hour</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Device-trust comparison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Distance distribution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Velocity distribution</w:t>
            </w:r>
          </w:p>
        </w:tc>
      </w:tr>
    </w:tbl>
    <w:p>
      <w:pPr>
        <w:pStyle w:val="Heading2"/>
      </w:pPr>
      <w:r>
        <w:t>7.4 Customer and Account Risk</w:t>
      </w:r>
    </w:p>
    <w:p>
      <w:r>
        <w:rPr>
          <w:b/>
        </w:rPr>
        <w:t xml:space="preserve">Audience: </w:t>
      </w:r>
      <w:r>
        <w:t>Customer-risk and investigation teams</w:t>
      </w:r>
    </w:p>
    <w:p>
      <w:r>
        <w:rPr>
          <w:b/>
        </w:rPr>
        <w:t xml:space="preserve">Business question: </w:t>
      </w:r>
      <w:r>
        <w:t>Which customers and accounts display abnormal behaviour?</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High-risk customers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Risk-band distribution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High-risk accounts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Customer ranking</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Exposure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Segment comparison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Dormant-account events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Home versus transaction city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Amount deviation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Dormant-account activity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Customer timeline</w:t>
            </w:r>
          </w:p>
        </w:tc>
      </w:tr>
    </w:tbl>
    <w:p>
      <w:pPr>
        <w:pStyle w:val="Heading2"/>
      </w:pPr>
      <w:r>
        <w:t>7.5 Fraud Operations and Investigation SLA</w:t>
      </w:r>
    </w:p>
    <w:p>
      <w:r>
        <w:rPr>
          <w:b/>
        </w:rPr>
        <w:t xml:space="preserve">Audience: </w:t>
      </w:r>
      <w:r>
        <w:t>Fraud operations manager</w:t>
      </w:r>
    </w:p>
    <w:p>
      <w:r>
        <w:rPr>
          <w:b/>
        </w:rPr>
        <w:t xml:space="preserve">Business question: </w:t>
      </w:r>
      <w:r>
        <w:t>How efficiently are alerts and cases being managed?</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Open alerts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Alert aging buckets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Critical alerts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Backlog by priority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Unassigned alerts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Alert status funnel</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Open cases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Case disposition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Average alert age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Investigator workload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Average resolution duration</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Queue backlog</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SLA compliance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Case closures over time</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Backlog</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Confirmed fraud versus false positives</w:t>
            </w:r>
          </w:p>
        </w:tc>
      </w:tr>
    </w:tbl>
    <w:p>
      <w:pPr>
        <w:pStyle w:val="Heading2"/>
      </w:pPr>
      <w:r>
        <w:t>7.6 Financial Loss and Recovery</w:t>
      </w:r>
    </w:p>
    <w:p>
      <w:r>
        <w:rPr>
          <w:b/>
        </w:rPr>
        <w:t xml:space="preserve">Audience: </w:t>
      </w:r>
      <w:r>
        <w:t>CFO, risk leadership and audit</w:t>
      </w:r>
    </w:p>
    <w:p>
      <w:r>
        <w:rPr>
          <w:b/>
        </w:rPr>
        <w:t xml:space="preserve">Business question: </w:t>
      </w:r>
      <w:r>
        <w:t>What is the exposure, confirmed loss and prevented amount?</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Estimated exposure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Monthly loss trend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Confirmed loss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by typology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Prevented value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by channel</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rate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by city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Loss by merchant category</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Exposure-to-loss waterfall</w:t>
            </w:r>
          </w:p>
        </w:tc>
      </w:tr>
    </w:tbl>
    <w:p>
      <w:pPr>
        <w:pStyle w:val="Heading2"/>
      </w:pPr>
      <w:r>
        <w:t>7.7 Merchant and Geographic Risk</w:t>
      </w:r>
    </w:p>
    <w:p>
      <w:r>
        <w:rPr>
          <w:b/>
        </w:rPr>
        <w:t xml:space="preserve">Audience: </w:t>
      </w:r>
      <w:r>
        <w:t>Merchant-risk and acquiring teams</w:t>
      </w:r>
    </w:p>
    <w:p>
      <w:r>
        <w:rPr>
          <w:b/>
        </w:rPr>
        <w:t xml:space="preserve">Business question: </w:t>
      </w:r>
      <w:r>
        <w:t>Which merchants and locations concentrate suspicious activity?</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High-risk merchants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Geographic heatmap</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Risky cities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Top merchant ranking</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Suspicious merchant value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Category versus fraud type</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concentration</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Merchant risk-band analysis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City-channel matrix</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Merchant concentration trend</w:t>
            </w:r>
          </w:p>
        </w:tc>
      </w:tr>
    </w:tbl>
    <w:p>
      <w:pPr>
        <w:pStyle w:val="Heading2"/>
      </w:pPr>
      <w:r>
        <w:t>7.8 Detection Effectiveness</w:t>
      </w:r>
    </w:p>
    <w:p>
      <w:r>
        <w:rPr>
          <w:b/>
        </w:rPr>
        <w:t xml:space="preserve">Audience: </w:t>
      </w:r>
      <w:r>
        <w:t>Data science, rule management and governance</w:t>
      </w:r>
    </w:p>
    <w:p>
      <w:r>
        <w:rPr>
          <w:b/>
        </w:rPr>
        <w:t xml:space="preserve">Business question: </w:t>
      </w:r>
      <w:r>
        <w:t>How effective are the rules, models, scores and decisions?</w:t>
      </w: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KPI Cards</w:t>
            </w:r>
          </w:p>
        </w:tc>
        <w:tc>
          <w:tcPr>
            <w:tcW w:type="dxa" w:w="5040"/>
            <w:vAlign w:val="center"/>
            <w:tcMar>
              <w:top w:w="100" w:type="dxa"/>
              <w:start w:w="120" w:type="dxa"/>
              <w:bottom w:w="100" w:type="dxa"/>
              <w:end w:w="120" w:type="dxa"/>
            </w:tcMar>
            <w:shd w:fill="008C95"/>
          </w:tcPr>
          <w:p>
            <w:pPr>
              <w:spacing w:after="0"/>
              <w:jc w:val="left"/>
            </w:pPr>
            <w:r/>
            <w:r>
              <w:rPr>
                <w:rFonts w:ascii="Aptos" w:hAnsi="Aptos"/>
                <w:b/>
                <w:color w:val="FFFFFF"/>
                <w:sz w:val="18"/>
              </w:rPr>
              <w:t>Recommended Visuals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True positives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Confusion matrix</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False positives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Outcome by score band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True negatives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Fraud versus non-fraud score distribution</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False negatives</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Rule versus ML versus hybrid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Precision</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Decision effectiveness</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Recall</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False-positive trend</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False-positive rate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Missed fraud by type</w:t>
            </w:r>
          </w:p>
        </w:tc>
      </w:tr>
      <w:tr>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Detection rate</w:t>
            </w:r>
          </w:p>
        </w:tc>
        <w:tc>
          <w:tcPr>
            <w:tcW w:type="dxa" w:w="5040"/>
            <w:vAlign w:val="center"/>
            <w:tcMar>
              <w:top w:w="100" w:type="dxa"/>
              <w:start w:w="120" w:type="dxa"/>
              <w:bottom w:w="100" w:type="dxa"/>
              <w:end w:w="120" w:type="dxa"/>
            </w:tcMar>
          </w:tcPr>
          <w:p>
            <w:pPr>
              <w:spacing w:after="0"/>
              <w:jc w:val="left"/>
            </w:pPr>
            <w:r/>
            <w:r>
              <w:rPr>
                <w:rFonts w:ascii="Aptos" w:hAnsi="Aptos"/>
                <w:b w:val="0"/>
                <w:color w:val="000000"/>
                <w:sz w:val="17"/>
              </w:rPr>
              <w:t>• Effectiveness by channel</w:t>
            </w:r>
          </w:p>
        </w:tc>
      </w:tr>
    </w:tbl>
    <w:p>
      <w:bookmarkStart w:id="8" w:name="Reports"/>
      <w:pPr>
        <w:pStyle w:val="Heading1"/>
      </w:pPr>
      <w:r>
        <w:t>8. Detailed Business Reports</w:t>
      </w:r>
      <w:bookmarkEnd w:id="8"/>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664"/>
            <w:vAlign w:val="center"/>
            <w:tcMar>
              <w:top w:w="100" w:type="dxa"/>
              <w:start w:w="120" w:type="dxa"/>
              <w:bottom w:w="100" w:type="dxa"/>
              <w:end w:w="120" w:type="dxa"/>
            </w:tcMar>
            <w:shd w:fill="17365D"/>
          </w:tcPr>
          <w:p>
            <w:pPr>
              <w:spacing w:after="0"/>
              <w:jc w:val="left"/>
            </w:pPr>
            <w:r/>
            <w:r>
              <w:rPr>
                <w:rFonts w:ascii="Aptos" w:hAnsi="Aptos"/>
                <w:b/>
                <w:color w:val="FFFFFF"/>
                <w:sz w:val="17"/>
              </w:rPr>
              <w:t>Report</w:t>
            </w:r>
          </w:p>
        </w:tc>
        <w:tc>
          <w:tcPr>
            <w:tcW w:type="dxa" w:w="5616"/>
            <w:vAlign w:val="center"/>
            <w:tcMar>
              <w:top w:w="100" w:type="dxa"/>
              <w:start w:w="120" w:type="dxa"/>
              <w:bottom w:w="100" w:type="dxa"/>
              <w:end w:w="120" w:type="dxa"/>
            </w:tcMar>
            <w:shd w:fill="17365D"/>
          </w:tcPr>
          <w:p>
            <w:pPr>
              <w:spacing w:after="0"/>
              <w:jc w:val="left"/>
            </w:pPr>
            <w:r/>
            <w:r>
              <w:rPr>
                <w:rFonts w:ascii="Aptos" w:hAnsi="Aptos"/>
                <w:b/>
                <w:color w:val="FFFFFF"/>
                <w:sz w:val="17"/>
              </w:rPr>
              <w:t>Minimum Content</w:t>
            </w:r>
          </w:p>
        </w:tc>
        <w:tc>
          <w:tcPr>
            <w:tcW w:type="dxa" w:w="2088"/>
            <w:vAlign w:val="center"/>
            <w:tcMar>
              <w:top w:w="100" w:type="dxa"/>
              <w:start w:w="120" w:type="dxa"/>
              <w:bottom w:w="100" w:type="dxa"/>
              <w:end w:w="120" w:type="dxa"/>
            </w:tcMar>
            <w:shd w:fill="17365D"/>
          </w:tcPr>
          <w:p>
            <w:pPr>
              <w:spacing w:after="0"/>
              <w:jc w:val="left"/>
            </w:pPr>
            <w:r/>
            <w:r>
              <w:rPr>
                <w:rFonts w:ascii="Aptos" w:hAnsi="Aptos"/>
                <w:b/>
                <w:color w:val="FFFFFF"/>
                <w:sz w:val="17"/>
              </w:rPr>
              <w:t>Primary Audience</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Daily Fraud Executive Summary</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Daily transaction count/value, fraud count/value/rate, decisions, confirmed loss and prevented value.</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Executive leadership, Risk, Compliance</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High-Risk Transaction Register</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Transaction, customer, account, device, merchant, risk signals, score, decision and alert status.</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Fraud operations</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Alert Aging and SLA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Alert backlog by priority, queue, age bucket, status and SLA condition.</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Fraud operations manager</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Investigation Case Outcome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Open/closed cases, disposition, exposure, confirmed loss, investigator and resolution time.</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Investigation leadership</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Customer and Account Risk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Risk ranking, behavioural deviation, suspicious transaction count/value and linked cases.</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Customer-risk team</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Merchant Risk Concentration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Merchant/category fraud rate, suspicious value, locations and repeated customer interactions.</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Merchant-risk team</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Geographic Anomaly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Home versus transaction location, travel distance, channel and fraud outcome.</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Fraud strategy</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Detection Performance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Confusion-matrix measures, detection method and score-band outcomes.</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Data science and model governance</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Data Quality and Pipeline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Record counts, rejects, duplicates, nulls, timeliness, pipeline status and publication status.</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Data engineering and governance</w:t>
            </w:r>
          </w:p>
        </w:tc>
      </w:tr>
      <w:tr>
        <w:tc>
          <w:tcPr>
            <w:tcW w:type="dxa" w:w="2664"/>
            <w:vAlign w:val="center"/>
            <w:tcMar>
              <w:top w:w="100" w:type="dxa"/>
              <w:start w:w="120" w:type="dxa"/>
              <w:bottom w:w="100" w:type="dxa"/>
              <w:end w:w="120" w:type="dxa"/>
            </w:tcMar>
          </w:tcPr>
          <w:p>
            <w:pPr>
              <w:spacing w:after="0"/>
              <w:jc w:val="left"/>
            </w:pPr>
            <w:r/>
            <w:r>
              <w:rPr>
                <w:rFonts w:ascii="Aptos" w:hAnsi="Aptos"/>
                <w:b w:val="0"/>
                <w:color w:val="000000"/>
                <w:sz w:val="16"/>
              </w:rPr>
              <w:t>Audit and Lineage Report</w:t>
            </w:r>
          </w:p>
        </w:tc>
        <w:tc>
          <w:tcPr>
            <w:tcW w:type="dxa" w:w="5616"/>
            <w:vAlign w:val="center"/>
            <w:tcMar>
              <w:top w:w="100" w:type="dxa"/>
              <w:start w:w="120" w:type="dxa"/>
              <w:bottom w:w="100" w:type="dxa"/>
              <w:end w:w="120" w:type="dxa"/>
            </w:tcMar>
          </w:tcPr>
          <w:p>
            <w:pPr>
              <w:spacing w:after="0"/>
              <w:jc w:val="left"/>
            </w:pPr>
            <w:r/>
            <w:r>
              <w:rPr>
                <w:rFonts w:ascii="Aptos" w:hAnsi="Aptos"/>
                <w:b w:val="0"/>
                <w:color w:val="000000"/>
                <w:sz w:val="16"/>
              </w:rPr>
              <w:t>Dataset ownership, source-to-target lineage, access events and policy evidence.</w:t>
            </w:r>
          </w:p>
        </w:tc>
        <w:tc>
          <w:tcPr>
            <w:tcW w:type="dxa" w:w="2088"/>
            <w:vAlign w:val="center"/>
            <w:tcMar>
              <w:top w:w="100" w:type="dxa"/>
              <w:start w:w="120" w:type="dxa"/>
              <w:bottom w:w="100" w:type="dxa"/>
              <w:end w:w="120" w:type="dxa"/>
            </w:tcMar>
          </w:tcPr>
          <w:p>
            <w:pPr>
              <w:spacing w:after="0"/>
              <w:jc w:val="left"/>
            </w:pPr>
            <w:r/>
            <w:r>
              <w:rPr>
                <w:rFonts w:ascii="Aptos" w:hAnsi="Aptos"/>
                <w:b w:val="0"/>
                <w:color w:val="000000"/>
                <w:sz w:val="16"/>
              </w:rPr>
              <w:t>Audit, compliance and stewardship</w:t>
            </w:r>
          </w:p>
        </w:tc>
      </w:tr>
    </w:tbl>
    <w:p>
      <w:bookmarkStart w:id="9" w:name="Governance"/>
      <w:pPr>
        <w:pStyle w:val="Heading1"/>
      </w:pPr>
      <w:r>
        <w:t>9. Governance, Security and Operational Controls</w:t>
      </w:r>
      <w:bookmarkEnd w:id="9"/>
    </w:p>
    <w:tbl>
      <w:tblPr>
        <w:tblW w:type="auto" w:w="0"/>
        <w:jc w:val="center"/>
        <w:tblLook w:firstColumn="1" w:firstRow="1" w:lastColumn="0" w:lastRow="0" w:noHBand="0" w:noVBand="1" w:val="04A0"/>
      </w:tblPr>
      <w:tblGrid>
        <w:gridCol w:w="5040"/>
        <w:gridCol w:w="5040"/>
      </w:tblGrid>
      <w:tr>
        <w:tc>
          <w:tcPr>
            <w:tcW w:type="dxa" w:w="5040"/>
            <w:shd w:fill="17365D"/>
            <w:vAlign w:val="center"/>
            <w:tcMar>
              <w:top w:w="100" w:type="dxa"/>
              <w:start w:w="120" w:type="dxa"/>
              <w:bottom w:w="100" w:type="dxa"/>
              <w:end w:w="120" w:type="dxa"/>
            </w:tcMar>
          </w:tcPr>
          <w:p>
            <w:pPr>
              <w:spacing w:after="0"/>
              <w:jc w:val="left"/>
            </w:pPr>
            <w:r/>
            <w:r>
              <w:rPr>
                <w:rFonts w:ascii="Aptos" w:hAnsi="Aptos"/>
                <w:b/>
                <w:color w:val="FFFFFF"/>
                <w:sz w:val="18"/>
              </w:rPr>
              <w:t>Metadata and lineage</w:t>
            </w:r>
          </w:p>
        </w:tc>
        <w:tc>
          <w:tcPr>
            <w:tcW w:type="dxa" w:w="5040"/>
            <w:shd w:fill="EAF2F8"/>
            <w:vAlign w:val="center"/>
            <w:tcMar>
              <w:top w:w="100" w:type="dxa"/>
              <w:start w:w="120" w:type="dxa"/>
              <w:bottom w:w="100" w:type="dxa"/>
              <w:end w:w="120" w:type="dxa"/>
            </w:tcMar>
          </w:tcPr>
          <w:p>
            <w:pPr>
              <w:spacing w:after="0"/>
              <w:jc w:val="left"/>
            </w:pPr>
            <w:r/>
            <w:r>
              <w:rPr>
                <w:rFonts w:ascii="Aptos" w:hAnsi="Aptos"/>
                <w:b w:val="0"/>
                <w:color w:val="000000"/>
                <w:sz w:val="17"/>
              </w:rPr>
              <w:t>Register source files, Kafka topics, Iceberg tables, ClickHouse views and Superset datasets. Capture source-to-dashboard lineage.</w:t>
            </w:r>
          </w:p>
        </w:tc>
      </w:tr>
      <w:tr>
        <w:tc>
          <w:tcPr>
            <w:tcW w:type="dxa" w:w="5040"/>
            <w:shd w:fill="2F75B5"/>
            <w:vAlign w:val="center"/>
            <w:tcMar>
              <w:top w:w="100" w:type="dxa"/>
              <w:start w:w="120" w:type="dxa"/>
              <w:bottom w:w="100" w:type="dxa"/>
              <w:end w:w="120" w:type="dxa"/>
            </w:tcMar>
          </w:tcPr>
          <w:p>
            <w:pPr>
              <w:spacing w:after="0"/>
              <w:jc w:val="left"/>
            </w:pPr>
            <w:r/>
            <w:r>
              <w:rPr>
                <w:rFonts w:ascii="Aptos" w:hAnsi="Aptos"/>
                <w:b/>
                <w:color w:val="FFFFFF"/>
                <w:sz w:val="18"/>
              </w:rPr>
              <w:t>Role-based access</w:t>
            </w:r>
          </w:p>
        </w:tc>
        <w:tc>
          <w:tcPr>
            <w:tcW w:type="dxa" w:w="5040"/>
            <w:shd w:fill="F2F4F7"/>
            <w:vAlign w:val="center"/>
            <w:tcMar>
              <w:top w:w="100" w:type="dxa"/>
              <w:start w:w="120" w:type="dxa"/>
              <w:bottom w:w="100" w:type="dxa"/>
              <w:end w:w="120" w:type="dxa"/>
            </w:tcMar>
          </w:tcPr>
          <w:p>
            <w:pPr>
              <w:spacing w:after="0"/>
              <w:jc w:val="left"/>
            </w:pPr>
            <w:r/>
            <w:r>
              <w:rPr>
                <w:rFonts w:ascii="Aptos" w:hAnsi="Aptos"/>
                <w:b w:val="0"/>
                <w:color w:val="000000"/>
                <w:sz w:val="17"/>
              </w:rPr>
              <w:t>Separate engineering, data science, fraud operations, audit and executive access using least-privilege roles.</w:t>
            </w:r>
          </w:p>
        </w:tc>
      </w:tr>
      <w:tr>
        <w:tc>
          <w:tcPr>
            <w:tcW w:type="dxa" w:w="5040"/>
            <w:shd w:fill="17365D"/>
            <w:vAlign w:val="center"/>
            <w:tcMar>
              <w:top w:w="100" w:type="dxa"/>
              <w:start w:w="120" w:type="dxa"/>
              <w:bottom w:w="100" w:type="dxa"/>
              <w:end w:w="120" w:type="dxa"/>
            </w:tcMar>
          </w:tcPr>
          <w:p>
            <w:pPr>
              <w:spacing w:after="0"/>
              <w:jc w:val="left"/>
            </w:pPr>
            <w:r/>
            <w:r>
              <w:rPr>
                <w:rFonts w:ascii="Aptos" w:hAnsi="Aptos"/>
                <w:b/>
                <w:color w:val="FFFFFF"/>
                <w:sz w:val="18"/>
              </w:rPr>
              <w:t>Masking</w:t>
            </w:r>
          </w:p>
        </w:tc>
        <w:tc>
          <w:tcPr>
            <w:tcW w:type="dxa" w:w="5040"/>
            <w:shd w:fill="EAF2F8"/>
            <w:vAlign w:val="center"/>
            <w:tcMar>
              <w:top w:w="100" w:type="dxa"/>
              <w:start w:w="120" w:type="dxa"/>
              <w:bottom w:w="100" w:type="dxa"/>
              <w:end w:w="120" w:type="dxa"/>
            </w:tcMar>
          </w:tcPr>
          <w:p>
            <w:pPr>
              <w:spacing w:after="0"/>
              <w:jc w:val="left"/>
            </w:pPr>
            <w:r/>
            <w:r>
              <w:rPr>
                <w:rFonts w:ascii="Aptos" w:hAnsi="Aptos"/>
                <w:b w:val="0"/>
                <w:color w:val="000000"/>
                <w:sz w:val="17"/>
              </w:rPr>
              <w:t>Mask customer-name, account and network identifiers when full values are not required.</w:t>
            </w:r>
          </w:p>
        </w:tc>
      </w:tr>
      <w:tr>
        <w:tc>
          <w:tcPr>
            <w:tcW w:type="dxa" w:w="5040"/>
            <w:shd w:fill="2F75B5"/>
            <w:vAlign w:val="center"/>
            <w:tcMar>
              <w:top w:w="100" w:type="dxa"/>
              <w:start w:w="120" w:type="dxa"/>
              <w:bottom w:w="100" w:type="dxa"/>
              <w:end w:w="120" w:type="dxa"/>
            </w:tcMar>
          </w:tcPr>
          <w:p>
            <w:pPr>
              <w:spacing w:after="0"/>
              <w:jc w:val="left"/>
            </w:pPr>
            <w:r/>
            <w:r>
              <w:rPr>
                <w:rFonts w:ascii="Aptos" w:hAnsi="Aptos"/>
                <w:b/>
                <w:color w:val="FFFFFF"/>
                <w:sz w:val="18"/>
              </w:rPr>
              <w:t>Data quality</w:t>
            </w:r>
          </w:p>
        </w:tc>
        <w:tc>
          <w:tcPr>
            <w:tcW w:type="dxa" w:w="5040"/>
            <w:shd w:fill="F2F4F7"/>
            <w:vAlign w:val="center"/>
            <w:tcMar>
              <w:top w:w="100" w:type="dxa"/>
              <w:start w:w="120" w:type="dxa"/>
              <w:bottom w:w="100" w:type="dxa"/>
              <w:end w:w="120" w:type="dxa"/>
            </w:tcMar>
          </w:tcPr>
          <w:p>
            <w:pPr>
              <w:spacing w:after="0"/>
              <w:jc w:val="left"/>
            </w:pPr>
            <w:r/>
            <w:r>
              <w:rPr>
                <w:rFonts w:ascii="Aptos" w:hAnsi="Aptos"/>
                <w:b w:val="0"/>
                <w:color w:val="000000"/>
                <w:sz w:val="17"/>
              </w:rPr>
              <w:t>Track mandatory fields, referential integrity, duplicates, invalid timestamps, accepted/rejected counts and freshness.</w:t>
            </w:r>
          </w:p>
        </w:tc>
      </w:tr>
      <w:tr>
        <w:tc>
          <w:tcPr>
            <w:tcW w:type="dxa" w:w="5040"/>
            <w:shd w:fill="17365D"/>
            <w:vAlign w:val="center"/>
            <w:tcMar>
              <w:top w:w="100" w:type="dxa"/>
              <w:start w:w="120" w:type="dxa"/>
              <w:bottom w:w="100" w:type="dxa"/>
              <w:end w:w="120" w:type="dxa"/>
            </w:tcMar>
          </w:tcPr>
          <w:p>
            <w:pPr>
              <w:spacing w:after="0"/>
              <w:jc w:val="left"/>
            </w:pPr>
            <w:r/>
            <w:r>
              <w:rPr>
                <w:rFonts w:ascii="Aptos" w:hAnsi="Aptos"/>
                <w:b/>
                <w:color w:val="FFFFFF"/>
                <w:sz w:val="18"/>
              </w:rPr>
              <w:t>Audit evidence</w:t>
            </w:r>
          </w:p>
        </w:tc>
        <w:tc>
          <w:tcPr>
            <w:tcW w:type="dxa" w:w="5040"/>
            <w:shd w:fill="EAF2F8"/>
            <w:vAlign w:val="center"/>
            <w:tcMar>
              <w:top w:w="100" w:type="dxa"/>
              <w:start w:w="120" w:type="dxa"/>
              <w:bottom w:w="100" w:type="dxa"/>
              <w:end w:w="120" w:type="dxa"/>
            </w:tcMar>
          </w:tcPr>
          <w:p>
            <w:pPr>
              <w:spacing w:after="0"/>
              <w:jc w:val="left"/>
            </w:pPr>
            <w:r/>
            <w:r>
              <w:rPr>
                <w:rFonts w:ascii="Aptos" w:hAnsi="Aptos"/>
                <w:b w:val="0"/>
                <w:color w:val="000000"/>
                <w:sz w:val="17"/>
              </w:rPr>
              <w:t>Capture data access, policy changes, pipeline execution, dashboard publication and investigation actions.</w:t>
            </w:r>
          </w:p>
        </w:tc>
      </w:tr>
      <w:tr>
        <w:tc>
          <w:tcPr>
            <w:tcW w:type="dxa" w:w="5040"/>
            <w:shd w:fill="2F75B5"/>
            <w:vAlign w:val="center"/>
            <w:tcMar>
              <w:top w:w="100" w:type="dxa"/>
              <w:start w:w="120" w:type="dxa"/>
              <w:bottom w:w="100" w:type="dxa"/>
              <w:end w:w="120" w:type="dxa"/>
            </w:tcMar>
          </w:tcPr>
          <w:p>
            <w:pPr>
              <w:spacing w:after="0"/>
              <w:jc w:val="left"/>
            </w:pPr>
            <w:r/>
            <w:r>
              <w:rPr>
                <w:rFonts w:ascii="Aptos" w:hAnsi="Aptos"/>
                <w:b/>
                <w:color w:val="FFFFFF"/>
                <w:sz w:val="18"/>
              </w:rPr>
              <w:t>Retention</w:t>
            </w:r>
          </w:p>
        </w:tc>
        <w:tc>
          <w:tcPr>
            <w:tcW w:type="dxa" w:w="5040"/>
            <w:shd w:fill="F2F4F7"/>
            <w:vAlign w:val="center"/>
            <w:tcMar>
              <w:top w:w="100" w:type="dxa"/>
              <w:start w:w="120" w:type="dxa"/>
              <w:bottom w:w="100" w:type="dxa"/>
              <w:end w:w="120" w:type="dxa"/>
            </w:tcMar>
          </w:tcPr>
          <w:p>
            <w:pPr>
              <w:spacing w:after="0"/>
              <w:jc w:val="left"/>
            </w:pPr>
            <w:r/>
            <w:r>
              <w:rPr>
                <w:rFonts w:ascii="Aptos" w:hAnsi="Aptos"/>
                <w:b w:val="0"/>
                <w:color w:val="000000"/>
                <w:sz w:val="17"/>
              </w:rPr>
              <w:t>Apply zone-specific retention and immutable archive policies according to the demonstration governance model.</w:t>
            </w:r>
          </w:p>
        </w:tc>
      </w:tr>
      <w:tr>
        <w:tc>
          <w:tcPr>
            <w:tcW w:type="dxa" w:w="5040"/>
            <w:shd w:fill="17365D"/>
            <w:vAlign w:val="center"/>
            <w:tcMar>
              <w:top w:w="100" w:type="dxa"/>
              <w:start w:w="120" w:type="dxa"/>
              <w:bottom w:w="100" w:type="dxa"/>
              <w:end w:w="120" w:type="dxa"/>
            </w:tcMar>
          </w:tcPr>
          <w:p>
            <w:pPr>
              <w:spacing w:after="0"/>
              <w:jc w:val="left"/>
            </w:pPr>
            <w:r/>
            <w:r>
              <w:rPr>
                <w:rFonts w:ascii="Aptos" w:hAnsi="Aptos"/>
                <w:b/>
                <w:color w:val="FFFFFF"/>
                <w:sz w:val="18"/>
              </w:rPr>
              <w:t>Monitoring</w:t>
            </w:r>
          </w:p>
        </w:tc>
        <w:tc>
          <w:tcPr>
            <w:tcW w:type="dxa" w:w="5040"/>
            <w:shd w:fill="EAF2F8"/>
            <w:vAlign w:val="center"/>
            <w:tcMar>
              <w:top w:w="100" w:type="dxa"/>
              <w:start w:w="120" w:type="dxa"/>
              <w:bottom w:w="100" w:type="dxa"/>
              <w:end w:w="120" w:type="dxa"/>
            </w:tcMar>
          </w:tcPr>
          <w:p>
            <w:pPr>
              <w:spacing w:after="0"/>
              <w:jc w:val="left"/>
            </w:pPr>
            <w:r/>
            <w:r>
              <w:rPr>
                <w:rFonts w:ascii="Aptos" w:hAnsi="Aptos"/>
                <w:b w:val="0"/>
                <w:color w:val="000000"/>
                <w:sz w:val="17"/>
              </w:rPr>
              <w:t>Monitor pipeline health, Kafka lag, processing latency, table freshness, query performance and dashboard availability.</w:t>
            </w:r>
          </w:p>
        </w:tc>
      </w:tr>
      <w:tr>
        <w:tc>
          <w:tcPr>
            <w:tcW w:type="dxa" w:w="5040"/>
            <w:shd w:fill="2F75B5"/>
            <w:vAlign w:val="center"/>
            <w:tcMar>
              <w:top w:w="100" w:type="dxa"/>
              <w:start w:w="120" w:type="dxa"/>
              <w:bottom w:w="100" w:type="dxa"/>
              <w:end w:w="120" w:type="dxa"/>
            </w:tcMar>
          </w:tcPr>
          <w:p>
            <w:pPr>
              <w:spacing w:after="0"/>
              <w:jc w:val="left"/>
            </w:pPr>
            <w:r/>
            <w:r>
              <w:rPr>
                <w:rFonts w:ascii="Aptos" w:hAnsi="Aptos"/>
                <w:b/>
                <w:color w:val="FFFFFF"/>
                <w:sz w:val="18"/>
              </w:rPr>
              <w:t>Model and rule governance</w:t>
            </w:r>
          </w:p>
        </w:tc>
        <w:tc>
          <w:tcPr>
            <w:tcW w:type="dxa" w:w="5040"/>
            <w:shd w:fill="F2F4F7"/>
            <w:vAlign w:val="center"/>
            <w:tcMar>
              <w:top w:w="100" w:type="dxa"/>
              <w:start w:w="120" w:type="dxa"/>
              <w:bottom w:w="100" w:type="dxa"/>
              <w:end w:w="120" w:type="dxa"/>
            </w:tcMar>
          </w:tcPr>
          <w:p>
            <w:pPr>
              <w:spacing w:after="0"/>
              <w:jc w:val="left"/>
            </w:pPr>
            <w:r/>
            <w:r>
              <w:rPr>
                <w:rFonts w:ascii="Aptos" w:hAnsi="Aptos"/>
                <w:b w:val="0"/>
                <w:color w:val="000000"/>
                <w:sz w:val="17"/>
              </w:rPr>
              <w:t>Version features, rules, models, thresholds, validation evidence and deployment approvals.</w:t>
            </w:r>
          </w:p>
        </w:tc>
      </w:tr>
    </w:tbl>
    <w:p>
      <w:bookmarkStart w:id="10" w:name="DemoStory"/>
      <w:pPr>
        <w:pStyle w:val="Heading1"/>
      </w:pPr>
      <w:r>
        <w:t>10. Recommended Demonstration Storyline</w:t>
      </w:r>
      <w:bookmarkEnd w:id="10"/>
    </w:p>
    <w:tbl>
      <w:tblPr>
        <w:tblW w:type="auto" w:w="0"/>
        <w:jc w:val="center"/>
        <w:tblLayout w:type="fixed"/>
        <w:tblLook w:firstColumn="1" w:firstRow="1" w:lastColumn="0" w:lastRow="0" w:noHBand="0" w:noVBand="1" w:val="04A0"/>
      </w:tblPr>
      <w:tblGrid>
        <w:gridCol w:w="3360"/>
        <w:gridCol w:w="3360"/>
        <w:gridCol w:w="3360"/>
      </w:tblGrid>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01</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Set the business context</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Open the Executive Fraud Command Centre and establish transaction scale, suspected exposure and active alerts.</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02</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Show data arrival</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Demonstrate batch masters arriving through NiFi and transaction events arriving through Kafka.</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03</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Trigger suspicious behaviour</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Inject the JSONL sample and select a new-device, velocity or geographic-anomaly scenario.</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04</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Explain processing</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Show Flink feature calculations and the illustrative risk decision.</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05</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Trace governed data</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Follow the event into raw, processed, curated and gold datasets with lineage.</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06</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Create operational action</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Open the generated alert and linked investigation case.</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07</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Reconstruct the event</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Show the customer, account, device, merchant and transaction relationship.</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08</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Demonstrate security</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Show masked fields and role-specific access for analyst and auditor personas.</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09</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Review outcomes</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Move through loss, operations-SLA and detection-effectiveness dashboards.</w:t>
            </w:r>
          </w:p>
        </w:tc>
      </w:tr>
      <w:tr>
        <w:tc>
          <w:tcPr>
            <w:tcW w:type="dxa" w:w="792"/>
            <w:shd w:fill="008C95"/>
            <w:vAlign w:val="center"/>
            <w:tcMar>
              <w:top w:w="100" w:type="dxa"/>
              <w:start w:w="120" w:type="dxa"/>
              <w:bottom w:w="100" w:type="dxa"/>
              <w:end w:w="120" w:type="dxa"/>
            </w:tcMar>
          </w:tcPr>
          <w:p>
            <w:pPr>
              <w:spacing w:after="0"/>
              <w:jc w:val="center"/>
            </w:pPr>
            <w:r/>
            <w:r>
              <w:rPr>
                <w:rFonts w:ascii="Aptos" w:hAnsi="Aptos"/>
                <w:b/>
                <w:color w:val="FFFFFF"/>
                <w:sz w:val="22"/>
              </w:rPr>
              <w:t>10</w:t>
            </w:r>
          </w:p>
        </w:tc>
        <w:tc>
          <w:tcPr>
            <w:tcW w:type="dxa" w:w="2304"/>
            <w:vAlign w:val="center"/>
            <w:tcMar>
              <w:top w:w="100" w:type="dxa"/>
              <w:start w:w="120" w:type="dxa"/>
              <w:bottom w:w="100" w:type="dxa"/>
              <w:end w:w="120" w:type="dxa"/>
            </w:tcMar>
          </w:tcPr>
          <w:p>
            <w:pPr>
              <w:spacing w:after="0"/>
              <w:jc w:val="left"/>
            </w:pPr>
            <w:r/>
            <w:r>
              <w:rPr>
                <w:rFonts w:ascii="Aptos" w:hAnsi="Aptos"/>
                <w:b/>
                <w:color w:val="17365D"/>
                <w:sz w:val="18"/>
              </w:rPr>
              <w:t>Close with platform value</w:t>
            </w:r>
          </w:p>
        </w:tc>
        <w:tc>
          <w:tcPr>
            <w:tcW w:type="dxa" w:w="7200"/>
            <w:vAlign w:val="center"/>
            <w:tcMar>
              <w:top w:w="100" w:type="dxa"/>
              <w:start w:w="120" w:type="dxa"/>
              <w:bottom w:w="100" w:type="dxa"/>
              <w:end w:w="120" w:type="dxa"/>
            </w:tcMar>
          </w:tcPr>
          <w:p>
            <w:pPr>
              <w:spacing w:after="0"/>
              <w:jc w:val="left"/>
            </w:pPr>
            <w:r/>
            <w:r>
              <w:rPr>
                <w:rFonts w:ascii="Aptos" w:hAnsi="Aptos"/>
                <w:b w:val="0"/>
                <w:color w:val="000000"/>
                <w:sz w:val="17"/>
              </w:rPr>
              <w:t>Summarize the complete data-to-decision lifecycle and reusable platform capabilities.</w:t>
            </w:r>
          </w:p>
        </w:tc>
      </w:tr>
    </w:tbl>
    <w:p>
      <w:bookmarkStart w:id="11" w:name="Success"/>
      <w:pPr>
        <w:pStyle w:val="Heading1"/>
      </w:pPr>
      <w:r>
        <w:t>11. Success Criteria</w:t>
      </w:r>
      <w:bookmarkEnd w:id="11"/>
    </w:p>
    <w:p>
      <w:pPr>
        <w:ind w:left="144" w:hanging="144"/>
      </w:pPr>
      <w:r>
        <w:rPr>
          <w:b/>
          <w:color w:val="008C95"/>
        </w:rPr>
        <w:t xml:space="preserve">✓ Data ingestion: </w:t>
      </w:r>
      <w:r>
        <w:t>All master and transaction datasets are ingested with record-count reconciliation.</w:t>
      </w:r>
    </w:p>
    <w:p>
      <w:pPr>
        <w:ind w:left="144" w:hanging="144"/>
      </w:pPr>
      <w:r>
        <w:rPr>
          <w:b/>
          <w:color w:val="008C95"/>
        </w:rPr>
        <w:t xml:space="preserve">✓ Data quality: </w:t>
      </w:r>
      <w:r>
        <w:t>Mandatory, duplicate and referential-integrity checks are visible and auditable.</w:t>
      </w:r>
    </w:p>
    <w:p>
      <w:pPr>
        <w:ind w:left="144" w:hanging="144"/>
      </w:pPr>
      <w:r>
        <w:rPr>
          <w:b/>
          <w:color w:val="008C95"/>
        </w:rPr>
        <w:t xml:space="preserve">✓ Streaming: </w:t>
      </w:r>
      <w:r>
        <w:t>Transaction events are processed continuously and latency is observable.</w:t>
      </w:r>
    </w:p>
    <w:p>
      <w:pPr>
        <w:ind w:left="144" w:hanging="144"/>
      </w:pPr>
      <w:r>
        <w:rPr>
          <w:b/>
          <w:color w:val="008C95"/>
        </w:rPr>
        <w:t xml:space="preserve">✓ Decisioning: </w:t>
      </w:r>
      <w:r>
        <w:t>Known demo scenarios result in understandable scores and decisions.</w:t>
      </w:r>
    </w:p>
    <w:p>
      <w:pPr>
        <w:ind w:left="144" w:hanging="144"/>
      </w:pPr>
      <w:r>
        <w:rPr>
          <w:b/>
          <w:color w:val="008C95"/>
        </w:rPr>
        <w:t xml:space="preserve">✓ Investigation: </w:t>
      </w:r>
      <w:r>
        <w:t>A suspicious transaction can be traced from event to alert and case.</w:t>
      </w:r>
    </w:p>
    <w:p>
      <w:pPr>
        <w:ind w:left="144" w:hanging="144"/>
      </w:pPr>
      <w:r>
        <w:rPr>
          <w:b/>
          <w:color w:val="008C95"/>
        </w:rPr>
        <w:t xml:space="preserve">✓ Analytics: </w:t>
      </w:r>
      <w:r>
        <w:t>All eight dashboard themes load with usable filters and drill-down paths.</w:t>
      </w:r>
    </w:p>
    <w:p>
      <w:pPr>
        <w:ind w:left="144" w:hanging="144"/>
      </w:pPr>
      <w:r>
        <w:rPr>
          <w:b/>
          <w:color w:val="008C95"/>
        </w:rPr>
        <w:t xml:space="preserve">✓ Governance: </w:t>
      </w:r>
      <w:r>
        <w:t>Lineage, ownership, policies and masking can be demonstrated.</w:t>
      </w:r>
    </w:p>
    <w:p>
      <w:pPr>
        <w:ind w:left="144" w:hanging="144"/>
      </w:pPr>
      <w:r>
        <w:rPr>
          <w:b/>
          <w:color w:val="008C95"/>
        </w:rPr>
        <w:t xml:space="preserve">✓ Operations: </w:t>
      </w:r>
      <w:r>
        <w:t>Pipeline, platform and publication health are visible.</w:t>
      </w:r>
    </w:p>
    <w:p>
      <w:pPr>
        <w:ind w:left="144" w:hanging="144"/>
      </w:pPr>
      <w:r>
        <w:rPr>
          <w:b/>
          <w:color w:val="008C95"/>
        </w:rPr>
        <w:t xml:space="preserve">✓ Repeatability: </w:t>
      </w:r>
      <w:r>
        <w:t>The demonstration can be reset and replayed using the same synthetic seed and schema.</w:t>
      </w:r>
    </w:p>
    <w:p>
      <w:bookmarkStart w:id="12" w:name="Limitations"/>
      <w:pPr>
        <w:pStyle w:val="Heading1"/>
      </w:pPr>
      <w:r>
        <w:t>12. Assumptions and Limitations</w:t>
      </w:r>
      <w:bookmarkEnd w:id="12"/>
    </w:p>
    <w:p>
      <w:pPr>
        <w:pStyle w:val="ListBullet"/>
      </w:pPr>
      <w:r>
        <w:t>The data is synthetic and intended only for demonstration, education and early prototyping.</w:t>
      </w:r>
    </w:p>
    <w:p>
      <w:pPr>
        <w:pStyle w:val="ListBullet"/>
      </w:pPr>
      <w:r>
        <w:t>Fraud rates, labels, losses, customer behaviour and investigation outcomes are artificially generated.</w:t>
      </w:r>
    </w:p>
    <w:p>
      <w:pPr>
        <w:pStyle w:val="ListBullet"/>
      </w:pPr>
      <w:r>
        <w:t>Risk thresholds and decisions are illustrative and are not production banking controls.</w:t>
      </w:r>
    </w:p>
    <w:p>
      <w:pPr>
        <w:pStyle w:val="ListBullet"/>
      </w:pPr>
      <w:r>
        <w:t>Actual fraud patterns are more complex, adaptive and context-dependent.</w:t>
      </w:r>
    </w:p>
    <w:p>
      <w:pPr>
        <w:pStyle w:val="ListBullet"/>
      </w:pPr>
      <w:r>
        <w:t>Production use requires privacy, security, regulatory, model-risk and operational validation.</w:t>
      </w:r>
    </w:p>
    <w:p>
      <w:pPr>
        <w:pStyle w:val="ListBullet"/>
      </w:pPr>
      <w:r>
        <w:t>Dashboards must be calibrated to the target bank’s definitions, materiality and reporting obligations.</w:t>
      </w:r>
    </w:p>
    <w:p>
      <w:bookmarkStart w:id="13" w:name="AppendixFiles"/>
      <w:pPr>
        <w:pStyle w:val="Heading1"/>
      </w:pPr>
      <w:r>
        <w:t>Appendix A. Files Included in the Download Package</w:t>
      </w:r>
      <w:bookmarkEnd w:id="13"/>
    </w:p>
    <w:p>
      <w:pPr>
        <w:pStyle w:val="ListBullet"/>
      </w:pPr>
      <w:r>
        <w:t>customers.csv</w:t>
      </w:r>
    </w:p>
    <w:p>
      <w:pPr>
        <w:pStyle w:val="ListBullet"/>
      </w:pPr>
      <w:r>
        <w:t>accounts.csv</w:t>
      </w:r>
    </w:p>
    <w:p>
      <w:pPr>
        <w:pStyle w:val="ListBullet"/>
      </w:pPr>
      <w:r>
        <w:t>devices.csv</w:t>
      </w:r>
    </w:p>
    <w:p>
      <w:pPr>
        <w:pStyle w:val="ListBullet"/>
      </w:pPr>
      <w:r>
        <w:t>merchants.csv</w:t>
      </w:r>
    </w:p>
    <w:p>
      <w:pPr>
        <w:pStyle w:val="ListBullet"/>
      </w:pPr>
      <w:r>
        <w:t>transactions.csv</w:t>
      </w:r>
    </w:p>
    <w:p>
      <w:pPr>
        <w:pStyle w:val="ListBullet"/>
      </w:pPr>
      <w:r>
        <w:t>fraud_events.csv</w:t>
      </w:r>
    </w:p>
    <w:p>
      <w:pPr>
        <w:pStyle w:val="ListBullet"/>
      </w:pPr>
      <w:r>
        <w:t>alerts.csv</w:t>
      </w:r>
    </w:p>
    <w:p>
      <w:pPr>
        <w:pStyle w:val="ListBullet"/>
      </w:pPr>
      <w:r>
        <w:t>cases.csv</w:t>
      </w:r>
    </w:p>
    <w:p>
      <w:pPr>
        <w:pStyle w:val="ListBullet"/>
      </w:pPr>
      <w:r>
        <w:t>gold_daily_channel_city.csv</w:t>
      </w:r>
    </w:p>
    <w:p>
      <w:pPr>
        <w:pStyle w:val="ListBullet"/>
      </w:pPr>
      <w:r>
        <w:t>transactions_kafka_sample.jsonl</w:t>
      </w:r>
    </w:p>
    <w:p>
      <w:pPr>
        <w:pStyle w:val="ListBullet"/>
      </w:pPr>
      <w:r>
        <w:t>clickhouse_starter.sql</w:t>
      </w:r>
    </w:p>
    <w:p>
      <w:pPr>
        <w:pStyle w:val="ListBullet"/>
      </w:pPr>
      <w:r>
        <w:t>Fraud_Analytics_Data_Dictionary_and_Dashboard_Blueprint.xlsx</w:t>
      </w:r>
    </w:p>
    <w:p>
      <w:pPr>
        <w:pStyle w:val="ListBullet"/>
      </w:pPr>
      <w:r>
        <w:t>README.md</w:t>
      </w:r>
    </w:p>
    <w:p>
      <w:pPr>
        <w:pStyle w:val="Heading1"/>
      </w:pPr>
      <w:r>
        <w:t>Appendix B. Recommended Ingestion Order</w:t>
      </w:r>
    </w:p>
    <w:p>
      <w:pPr>
        <w:jc w:val="center"/>
      </w:pPr>
      <w:r>
        <w:rPr>
          <w:b/>
          <w:color w:val="17365D"/>
          <w:sz w:val="22"/>
        </w:rPr>
        <w:t>Customers  →  Accounts  →  Devices  →  Merchants  →  Transactions  →  Fraud Events  →  Alerts  →  Cases  →  Gold Aggregations</w:t>
      </w:r>
    </w:p>
    <w:p>
      <w:pPr>
        <w:pStyle w:val="Heading1"/>
      </w:pPr>
      <w:r>
        <w:t>Appendix C. Reference Notes</w:t>
      </w:r>
    </w:p>
    <w:p>
      <w:pPr>
        <w:pStyle w:val="ListBullet"/>
      </w:pPr>
      <w:r>
        <w:rPr>
          <w:b/>
        </w:rPr>
        <w:t xml:space="preserve">Financial Synthetic Data Generator: </w:t>
      </w:r>
      <w:r>
        <w:t>https://github.com/Gayatri-Batta/financial-synthetic-data-generator</w:t>
      </w:r>
    </w:p>
    <w:p>
      <w:pPr>
        <w:pStyle w:val="ListBullet"/>
      </w:pPr>
      <w:r>
        <w:rPr>
          <w:b/>
        </w:rPr>
        <w:t xml:space="preserve">Synthetic Banking Transaction Dataset with Multi-Pattern Fraud Labels: </w:t>
      </w:r>
      <w:r>
        <w:t>https://data.mendeley.com/datasets/ktbthg777x</w:t>
      </w:r>
    </w:p>
    <w:p>
      <w:pPr>
        <w:pStyle w:val="ListBullet"/>
      </w:pPr>
      <w:r>
        <w:rPr>
          <w:b/>
        </w:rPr>
        <w:t xml:space="preserve">IBM Synthetic Data Sets: </w:t>
      </w:r>
      <w:r>
        <w:t>https://www.ibm.com/products/synthetic-data-sets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Synthetic demonstration data  |  Internal solution showcase  |  </w:t>
    </w:r>
    <w:fldSimple w:instr="PAGE"/>
    <w:r>
      <w:rPr>
        <w:rFonts w:ascii="Aptos" w:hAnsi="Aptos"/>
        <w:color w:val="666666"/>
        <w:sz w:val="16"/>
      </w:rPr>
      <w:t xml:space="preserve">Synthetic demonstration data  |  Internal solution showcase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75B5"/>
        <w:sz w:val="16"/>
      </w:rPr>
      <w:t>FRAUD ANALYTICS  |  APACHE DATA PLATFORM SHOWCASE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16" w:right="216"/>
    </w:pPr>
    <w:rPr>
      <w:rFonts w:ascii="Aptos" w:hAnsi="Aptos"/>
      <w:color w:val="17365D"/>
      <w:sz w:val="20"/>
    </w:rPr>
  </w:style>
  <w:style w:type="paragraph" w:customStyle="1" w:styleId="KeyMessage">
    <w:name w:val="KeyMessage"/>
    <w:pPr>
      <w:spacing w:before="120" w:after="160"/>
      <w:ind w:left="216" w:right="216"/>
    </w:pPr>
    <w:rPr>
      <w:rFonts w:ascii="Aptos" w:hAnsi="Aptos"/>
      <w:color w:val="FFFF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Fraud Analytics End-to-End Banking Use Case and Dashboard Blueprint</dc:title>
  <dc:subject>Apache-based data platform fraud analytics showcase</dc:subject>
  <dc:creator>Ajay Nag</dc:creator>
  <keywords>Fraud Analytics, Synthetic Banking Data, Apache Superset, Kafka, Flink, Spark, Iceberg, ClickHouse</keywords>
  <dc:description>generated by python-docx</dc:description>
  <lastModifiedBy>Ajay Nag</lastModifiedBy>
  <revision>1</revision>
  <dcterms:created xsi:type="dcterms:W3CDTF">2026-08-19T10:47:57.8764996Z</dcterms:created>
  <dcterms:modified xsi:type="dcterms:W3CDTF">2026-08-19T10:47:57.8764996Z</dcterms:modified>
  <category/>
</coreProperties>
</file>