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Analyzing Ethernet frames and MAC using Wireshark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Destination MAC Address: 04:42:1a:2d:9d:30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the MAC address of the receiving device.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helps the switch forward the frame to the correct machine.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 MAC Address: f4:8c:eb:c0:a2:32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the MAC address of the sending device.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switch learns this address to update its MAC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EtherType: 0x0800 (IPv4)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Indicates that the payload contains an IPv4 packet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Payload: Contains IP and TCP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encapsulated TCP packet carries higher-layer information, such as source and destination ports.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