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Propensity Score Analysis of Antihypertensive Treatment</w:t>
        <w:br/>
        <w:t>and Cardiovascular Mortality</w:t>
      </w:r>
    </w:p>
    <w:p>
      <w:pPr>
        <w:jc w:val="center"/>
      </w:pPr>
      <w:r>
        <w:rPr>
          <w:color w:val="555555"/>
          <w:sz w:val="26"/>
        </w:rPr>
        <w:t>A Comparative Effectiveness Study Using NHANES Linked Mortality Data</w:t>
      </w:r>
    </w:p>
    <w:p>
      <w:pPr>
        <w:jc w:val="center"/>
      </w:pPr>
      <w:r>
        <w:rPr>
          <w:color w:val="888888"/>
          <w:sz w:val="20"/>
        </w:rPr>
        <w:t>Sridharan Gopalsamy Ramaswamy | MPH/MBA, Washington University in St. Louis | April 2026</w:t>
      </w:r>
    </w:p>
    <w:p/>
    <w:p>
      <w:pPr>
        <w:pStyle w:val="Heading2"/>
      </w:pPr>
      <w:r>
        <w:t>Executive Summary</w:t>
      </w:r>
    </w:p>
    <w:p>
      <w:r>
        <w:t>This study estimates the effect of antihypertensive treatment on cardiovascular mortality in 18,129 hypertensive US adults using propensity score methods applied to NHANES 1999-2018 with linked mortality follow-up through 2019.</w:t>
      </w:r>
    </w:p>
    <w:p>
      <w:pPr>
        <w:pStyle w:val="ListBullet"/>
      </w:pPr>
      <w:r>
        <w:t>Confounding is massive. The unadjusted HR of 2.86 suggests treatment increases CV death, but this is an artifact of confounding by indication. After PS matching, the HR attenuates to 1.24.</w:t>
      </w:r>
    </w:p>
    <w:p>
      <w:pPr>
        <w:pStyle w:val="ListBullet"/>
      </w:pPr>
      <w:r>
        <w:t>Method choice changes the conclusion. PS matching finds HR 1.24 (p=0.027), IPTW finds no effect (HR 1.02, p=0.81), and the doubly robust estimate is HR 1.15 (p=0.09).</w:t>
      </w:r>
    </w:p>
    <w:p>
      <w:pPr>
        <w:pStyle w:val="ListBullet"/>
      </w:pPr>
      <w:r>
        <w:t>The PH assumption is borderline violated (p=0.035), suggesting the treatment effect varies over time, consistent with delayed benefit of BP control.</w:t>
      </w:r>
    </w:p>
    <w:p>
      <w:pPr>
        <w:pStyle w:val="Heading2"/>
      </w:pPr>
      <w:r>
        <w:t>Data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Cohort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PS-Matched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18,129</w:t>
            </w:r>
          </w:p>
        </w:tc>
        <w:tc>
          <w:tcPr>
            <w:tcW w:type="dxa" w:w="2880"/>
          </w:tcPr>
          <w:p>
            <w:r>
              <w:t>6,962</w:t>
            </w:r>
          </w:p>
        </w:tc>
      </w:tr>
      <w:tr>
        <w:tc>
          <w:tcPr>
            <w:tcW w:type="dxa" w:w="2880"/>
          </w:tcPr>
          <w:p>
            <w:r>
              <w:t>Treated</w:t>
            </w:r>
          </w:p>
        </w:tc>
        <w:tc>
          <w:tcPr>
            <w:tcW w:type="dxa" w:w="2880"/>
          </w:tcPr>
          <w:p>
            <w:r>
              <w:t>13,649 (75.3%)</w:t>
            </w:r>
          </w:p>
        </w:tc>
        <w:tc>
          <w:tcPr>
            <w:tcW w:type="dxa" w:w="2880"/>
          </w:tcPr>
          <w:p>
            <w:r>
              <w:t>3,481 (50.0%)</w:t>
            </w:r>
          </w:p>
        </w:tc>
      </w:tr>
      <w:tr>
        <w:tc>
          <w:tcPr>
            <w:tcW w:type="dxa" w:w="2880"/>
          </w:tcPr>
          <w:p>
            <w:r>
              <w:t>CV Deaths</w:t>
            </w:r>
          </w:p>
        </w:tc>
        <w:tc>
          <w:tcPr>
            <w:tcW w:type="dxa" w:w="2880"/>
          </w:tcPr>
          <w:p>
            <w:r>
              <w:t>1,641 (9.1%)</w:t>
            </w:r>
          </w:p>
        </w:tc>
        <w:tc>
          <w:tcPr>
            <w:tcW w:type="dxa" w:w="2880"/>
          </w:tcPr>
          <w:p>
            <w:r>
              <w:t>577 (8.3%)</w:t>
            </w:r>
          </w:p>
        </w:tc>
      </w:tr>
      <w:tr>
        <w:tc>
          <w:tcPr>
            <w:tcW w:type="dxa" w:w="2880"/>
          </w:tcPr>
          <w:p>
            <w:r>
              <w:t>Median follow-up</w:t>
            </w:r>
          </w:p>
        </w:tc>
        <w:tc>
          <w:tcPr>
            <w:tcW w:type="dxa" w:w="2880"/>
          </w:tcPr>
          <w:p>
            <w:r>
              <w:t>7.8 years</w:t>
            </w:r>
          </w:p>
        </w:tc>
        <w:tc>
          <w:tcPr>
            <w:tcW w:type="dxa" w:w="2880"/>
          </w:tcPr>
          <w:p>
            <w:r>
              <w:t>9.3 years</w:t>
            </w:r>
          </w:p>
        </w:tc>
      </w:tr>
    </w:tbl>
    <w:p/>
    <w:p>
      <w:pPr>
        <w:pStyle w:val="Heading2"/>
      </w:pPr>
      <w:r>
        <w:t>1. Propensity Score Distribution</w:t>
      </w:r>
    </w:p>
    <w:p>
      <w:r>
        <w:t>The propensity score model (logistic regression on 12 covariates) achieves 81% accuracy. The score distributions show substantial overlap with clear separation, confirming systematic confounding by indication.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5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1. Propensity Score Distribution by Treatment Group</w:t>
      </w:r>
    </w:p>
    <w:p>
      <w:pPr>
        <w:pStyle w:val="Heading2"/>
      </w:pPr>
      <w:r>
        <w:t>2. Covariate Balance</w:t>
      </w:r>
    </w:p>
    <w:p>
      <w:r>
        <w:t>Both PS matching and IPTW reduce standardized mean differences substantially. Age, the strongest confounder (SMD ~0.70 unadjusted), drops below 0.1 after matching.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909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ve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2. Love Plot: Covariate Balance Before and After Adjustment</w:t>
      </w:r>
    </w:p>
    <w:p>
      <w:pPr>
        <w:pStyle w:val="Heading2"/>
      </w:pPr>
      <w:r>
        <w:t>3. Survival Analysis</w:t>
      </w:r>
    </w:p>
    <w:p>
      <w:r>
        <w:t>The unadjusted KM shows dramatic separation (treated patients dying faster because they are sicker). After matching, the curves converge substantially.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60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3. Kaplan-Meier Curves: Unadjusted and PS-Matched</w:t>
      </w:r>
    </w:p>
    <w:p>
      <w:pPr>
        <w:pStyle w:val="Heading2"/>
      </w:pPr>
      <w:r>
        <w:t>4. Treatment Effect Estimates</w:t>
      </w:r>
    </w:p>
    <w:p>
      <w:r>
        <w:t>Four Cox PH models estimate the treatment hazard ratio under increasingly rigorous confounding control.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9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r_forest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4. Hazard Ratio Forest Plot Across PS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1728"/>
          </w:tcPr>
          <w:p>
            <w:r>
              <w:t>Unadjusted</w:t>
            </w:r>
          </w:p>
        </w:tc>
        <w:tc>
          <w:tcPr>
            <w:tcW w:type="dxa" w:w="1728"/>
          </w:tcPr>
          <w:p>
            <w:r>
              <w:t>2.86</w:t>
            </w:r>
          </w:p>
        </w:tc>
        <w:tc>
          <w:tcPr>
            <w:tcW w:type="dxa" w:w="1728"/>
          </w:tcPr>
          <w:p>
            <w:r>
              <w:t>2.47-3.32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  <w:tc>
          <w:tcPr>
            <w:tcW w:type="dxa" w:w="1728"/>
          </w:tcPr>
          <w:p>
            <w:r>
              <w:t>18,129</w:t>
            </w:r>
          </w:p>
        </w:tc>
      </w:tr>
      <w:tr>
        <w:tc>
          <w:tcPr>
            <w:tcW w:type="dxa" w:w="1728"/>
          </w:tcPr>
          <w:p>
            <w:r>
              <w:t>PS-Matched</w:t>
            </w:r>
          </w:p>
        </w:tc>
        <w:tc>
          <w:tcPr>
            <w:tcW w:type="dxa" w:w="1728"/>
          </w:tcPr>
          <w:p>
            <w:r>
              <w:t>1.24</w:t>
            </w:r>
          </w:p>
        </w:tc>
        <w:tc>
          <w:tcPr>
            <w:tcW w:type="dxa" w:w="1728"/>
          </w:tcPr>
          <w:p>
            <w:r>
              <w:t>1.03-1.50</w:t>
            </w:r>
          </w:p>
        </w:tc>
        <w:tc>
          <w:tcPr>
            <w:tcW w:type="dxa" w:w="1728"/>
          </w:tcPr>
          <w:p>
            <w:r>
              <w:t>0.027</w:t>
            </w:r>
          </w:p>
        </w:tc>
        <w:tc>
          <w:tcPr>
            <w:tcW w:type="dxa" w:w="1728"/>
          </w:tcPr>
          <w:p>
            <w:r>
              <w:t>6,962</w:t>
            </w:r>
          </w:p>
        </w:tc>
      </w:tr>
      <w:tr>
        <w:tc>
          <w:tcPr>
            <w:tcW w:type="dxa" w:w="1728"/>
          </w:tcPr>
          <w:p>
            <w:r>
              <w:t>IPTW</w:t>
            </w:r>
          </w:p>
        </w:tc>
        <w:tc>
          <w:tcPr>
            <w:tcW w:type="dxa" w:w="1728"/>
          </w:tcPr>
          <w:p>
            <w:r>
              <w:t>1.02</w:t>
            </w:r>
          </w:p>
        </w:tc>
        <w:tc>
          <w:tcPr>
            <w:tcW w:type="dxa" w:w="1728"/>
          </w:tcPr>
          <w:p>
            <w:r>
              <w:t>0.87-1.21</w:t>
            </w:r>
          </w:p>
        </w:tc>
        <w:tc>
          <w:tcPr>
            <w:tcW w:type="dxa" w:w="1728"/>
          </w:tcPr>
          <w:p>
            <w:r>
              <w:t>0.808</w:t>
            </w:r>
          </w:p>
        </w:tc>
        <w:tc>
          <w:tcPr>
            <w:tcW w:type="dxa" w:w="1728"/>
          </w:tcPr>
          <w:p>
            <w:r>
              <w:t>18,129</w:t>
            </w:r>
          </w:p>
        </w:tc>
      </w:tr>
      <w:tr>
        <w:tc>
          <w:tcPr>
            <w:tcW w:type="dxa" w:w="1728"/>
          </w:tcPr>
          <w:p>
            <w:r>
              <w:t>Doubly Robust</w:t>
            </w:r>
          </w:p>
        </w:tc>
        <w:tc>
          <w:tcPr>
            <w:tcW w:type="dxa" w:w="1728"/>
          </w:tcPr>
          <w:p>
            <w:r>
              <w:t>1.15</w:t>
            </w:r>
          </w:p>
        </w:tc>
        <w:tc>
          <w:tcPr>
            <w:tcW w:type="dxa" w:w="1728"/>
          </w:tcPr>
          <w:p>
            <w:r>
              <w:t>0.98-1.36</w:t>
            </w:r>
          </w:p>
        </w:tc>
        <w:tc>
          <w:tcPr>
            <w:tcW w:type="dxa" w:w="1728"/>
          </w:tcPr>
          <w:p>
            <w:r>
              <w:t>0.091</w:t>
            </w:r>
          </w:p>
        </w:tc>
        <w:tc>
          <w:tcPr>
            <w:tcW w:type="dxa" w:w="1728"/>
          </w:tcPr>
          <w:p>
            <w:r>
              <w:t>18,129</w:t>
            </w:r>
          </w:p>
        </w:tc>
      </w:tr>
    </w:tbl>
    <w:p/>
    <w:p>
      <w:r>
        <w:t>The IPTW estimate (HR 1.02) is the most fully adjusted and suggests no net harm or benefit. However, this should not be interpreted as treatment futility. Residual confounding, the healthy-user effect, and limitations of self-reported treatment data are likely explanations.</w:t>
      </w:r>
    </w:p>
    <w:p>
      <w:pPr>
        <w:pStyle w:val="Heading2"/>
      </w:pPr>
      <w:r>
        <w:t>5. Proportional Hazards Assessment</w:t>
      </w:r>
    </w:p>
    <w:p>
      <w:r>
        <w:t>The HR-over-time plot shows the treatment effect is not constant: higher in early follow-up, attenuating over time. Formal PH test: p=0.035 for treatment.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5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test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5. Treatment HR Over Time</w:t>
      </w:r>
    </w:p>
    <w:p>
      <w:pPr>
        <w:pStyle w:val="Heading2"/>
      </w:pPr>
      <w:r>
        <w:t>6. Subgroup Analysis</w:t>
      </w:r>
    </w:p>
    <w:p>
      <w:r>
        <w:t>The subgroup forest plot tests whether the treatment effect varies by age, sex, diabetes, and smoking status in the PS-matched cohort.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34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group_forest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3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6. Subgroup Forest Plot (PS-Matched)</w:t>
      </w:r>
    </w:p>
    <w:p>
      <w:pPr>
        <w:pStyle w:val="Heading2"/>
      </w:pPr>
      <w:r>
        <w:t>Implications for HEOR and Consulting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type="dxa" w:w="4320"/>
          </w:tcPr>
          <w:p>
            <w:r>
              <w:t>Unadjusted HR reverses after PS adjustment</w:t>
            </w:r>
          </w:p>
        </w:tc>
        <w:tc>
          <w:tcPr>
            <w:tcW w:type="dxa" w:w="4320"/>
          </w:tcPr>
          <w:p>
            <w:r>
              <w:t>Observational analyses require rigorous confounding control for formulary/coverage decisions</w:t>
            </w:r>
          </w:p>
        </w:tc>
      </w:tr>
      <w:tr>
        <w:tc>
          <w:tcPr>
            <w:tcW w:type="dxa" w:w="4320"/>
          </w:tcPr>
          <w:p>
            <w:r>
              <w:t>HR varies 1.02-1.24 across methods</w:t>
            </w:r>
          </w:p>
        </w:tc>
        <w:tc>
          <w:tcPr>
            <w:tcW w:type="dxa" w:w="4320"/>
          </w:tcPr>
          <w:p>
            <w:r>
              <w:t>Sensitivity analysis across PS approaches is non-negotiable for HEOR submissions</w:t>
            </w:r>
          </w:p>
        </w:tc>
      </w:tr>
      <w:tr>
        <w:tc>
          <w:tcPr>
            <w:tcW w:type="dxa" w:w="4320"/>
          </w:tcPr>
          <w:p>
            <w:r>
              <w:t>PH assumption borderline violated</w:t>
            </w:r>
          </w:p>
        </w:tc>
        <w:tc>
          <w:tcPr>
            <w:tcW w:type="dxa" w:w="4320"/>
          </w:tcPr>
          <w:p>
            <w:r>
              <w:t>Time-varying treatment effects should be explored; standard Cox may mask delayed benefit</w:t>
            </w:r>
          </w:p>
        </w:tc>
      </w:tr>
      <w:tr>
        <w:tc>
          <w:tcPr>
            <w:tcW w:type="dxa" w:w="4320"/>
          </w:tcPr>
          <w:p>
            <w:r>
              <w:t>3,481 matched pairs from 18,129</w:t>
            </w:r>
          </w:p>
        </w:tc>
        <w:tc>
          <w:tcPr>
            <w:tcW w:type="dxa" w:w="4320"/>
          </w:tcPr>
          <w:p>
            <w:r>
              <w:t>IPTW preserves the full sample and may be preferable when overlap is limited</w:t>
            </w:r>
          </w:p>
        </w:tc>
      </w:tr>
      <w:tr>
        <w:tc>
          <w:tcPr>
            <w:tcW w:type="dxa" w:w="4320"/>
          </w:tcPr>
          <w:p>
            <w:r>
              <w:t>Self-reported treatment is a limitation</w:t>
            </w:r>
          </w:p>
        </w:tc>
        <w:tc>
          <w:tcPr>
            <w:tcW w:type="dxa" w:w="4320"/>
          </w:tcPr>
          <w:p>
            <w:r>
              <w:t>Claims-based identification (NDC codes, pharmacy fills) would strengthen real-world analyses</w:t>
            </w:r>
          </w:p>
        </w:tc>
      </w:tr>
    </w:tbl>
    <w:p/>
    <w:p>
      <w:pPr>
        <w:pStyle w:val="Heading2"/>
      </w:pPr>
      <w:r>
        <w:t>Methods</w:t>
      </w:r>
    </w:p>
    <w:p>
      <w:r>
        <w:t>Data: NHANES 1999-2018 (10 cycles) linked to NCHS mortality (follow-up through Dec 2019). Cohort: 18,129 adults 20+ with self-reported hypertension. Treatment: antihypertensive medication use (BPQ050A). Outcome: CV mortality (UCOD heart disease or cerebrovascular disease). PS model: logistic regression on 12 covariates. Matching: 1:1 nearest-neighbor, caliper = 0.2 SD of logit PS. IPTW: ATE weights, trimmed at 99th percentile. Tools: Python, lifelines, scikit-learn, pandas, matplotlib.</w:t>
      </w:r>
    </w:p>
    <w:p/>
    <w:p>
      <w:pPr>
        <w:jc w:val="center"/>
      </w:pPr>
      <w:r>
        <w:rPr>
          <w:color w:val="999999"/>
          <w:sz w:val="18"/>
        </w:rPr>
        <w:t>Analysis by Sridharan Gopalsamy Ramaswamy | sridharanshri.com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0F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0F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0F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