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A477A"/>
          <w:sz w:val="56"/>
        </w:rPr>
        <w:t>Role B: Clinical Support &amp; Literature</w:t>
      </w:r>
    </w:p>
    <w:p>
      <w:pPr>
        <w:jc w:val="center"/>
      </w:pPr>
      <w:r>
        <w:rPr>
          <w:color w:val="1A477A"/>
          <w:sz w:val="36"/>
        </w:rPr>
        <w:t>I2DB Datathon 2025 — Diabetes Risk Prediction</w:t>
      </w:r>
    </w:p>
    <w:p/>
    <w:p/>
    <w:p>
      <w:pPr>
        <w:jc w:val="center"/>
      </w:pPr>
      <w:r>
        <w:rPr>
          <w:i/>
          <w:sz w:val="26"/>
        </w:rPr>
        <w:t>Reference document for the team member leading literature grounding,</w:t>
        <w:br/>
        <w:t>subgroup analysis, and the equity/fairness discussion.</w:t>
      </w:r>
    </w:p>
    <w:p/>
    <w:p/>
    <w:p/>
    <w:p/>
    <w:p>
      <w:pPr>
        <w:jc w:val="center"/>
      </w:pPr>
      <w:r>
        <w:rPr>
          <w:b/>
          <w:sz w:val="24"/>
        </w:rPr>
        <w:t>Your responsibilities:</w:t>
      </w:r>
    </w:p>
    <w:p>
      <w:pPr>
        <w:pStyle w:val="ListBullet"/>
        <w:jc w:val="center"/>
      </w:pPr>
      <w:r>
        <w:t>Present and defend the subgroup/equity analysis (Step 14)</w:t>
      </w:r>
    </w:p>
    <w:p>
      <w:pPr>
        <w:pStyle w:val="ListBullet"/>
        <w:jc w:val="center"/>
      </w:pPr>
      <w:r>
        <w:t>Ground our findings in published literature</w:t>
      </w:r>
    </w:p>
    <w:p>
      <w:pPr>
        <w:pStyle w:val="ListBullet"/>
        <w:jc w:val="center"/>
      </w:pPr>
      <w:r>
        <w:t>Connect demographic patterns to known diabetes epidemiology</w:t>
      </w:r>
    </w:p>
    <w:p>
      <w:pPr>
        <w:pStyle w:val="ListBullet"/>
        <w:jc w:val="center"/>
      </w:pPr>
      <w:r>
        <w:t>Handle Q&amp;A about bias, fairness, and health disparities</w:t>
      </w:r>
    </w:p>
    <w:p>
      <w:r>
        <w:br w:type="page"/>
      </w:r>
    </w:p>
    <w:p>
      <w:pPr>
        <w:pStyle w:val="Heading1"/>
      </w:pPr>
      <w:r>
        <w:t>1. Demographic Risk Patterns from Our Data (Step 3)</w:t>
      </w:r>
    </w:p>
    <w:p>
      <w:r>
        <w:t>Before we even built a model, we explored how uncontrolled rates differ across demographic groups. These findings both informed feature engineering and set the stage for the fairness analysis. All numbers below are from our 62,425-patient dataset.</w:t>
      </w:r>
    </w:p>
    <w:p>
      <w:pPr>
        <w:pStyle w:val="Heading2"/>
      </w:pPr>
      <w:r>
        <w:t>1.1 Age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Age group</w:t>
            </w:r>
          </w:p>
        </w:tc>
        <w:tc>
          <w:tcPr>
            <w:tcW w:type="dxa" w:w="2160"/>
          </w:tcPr>
          <w:p>
            <w:r>
              <w:rPr>
                <w:b/>
                <w:sz w:val="20"/>
              </w:rPr>
              <w:t>N patients</w:t>
            </w:r>
          </w:p>
        </w:tc>
        <w:tc>
          <w:tcPr>
            <w:tcW w:type="dxa" w:w="2160"/>
          </w:tcPr>
          <w:p>
            <w:r>
              <w:rPr>
                <w:b/>
                <w:sz w:val="20"/>
              </w:rPr>
              <w:t>% Uncontrolled</w:t>
            </w:r>
          </w:p>
        </w:tc>
        <w:tc>
          <w:tcPr>
            <w:tcW w:type="dxa" w:w="2160"/>
          </w:tcPr>
          <w:p>
            <w:r>
              <w:rPr>
                <w:b/>
                <w:sz w:val="20"/>
              </w:rPr>
              <w:t>Clinical context</w:t>
            </w:r>
          </w:p>
        </w:tc>
      </w:tr>
      <w:tr>
        <w:tc>
          <w:tcPr>
            <w:tcW w:type="dxa" w:w="2160"/>
          </w:tcPr>
          <w:p>
            <w:r>
              <w:rPr>
                <w:sz w:val="20"/>
              </w:rPr>
              <w:t>&lt; 30</w:t>
            </w:r>
          </w:p>
        </w:tc>
        <w:tc>
          <w:tcPr>
            <w:tcW w:type="dxa" w:w="2160"/>
          </w:tcPr>
          <w:p>
            <w:r>
              <w:rPr>
                <w:sz w:val="20"/>
              </w:rPr>
              <w:t>2,531</w:t>
            </w:r>
          </w:p>
        </w:tc>
        <w:tc>
          <w:tcPr>
            <w:tcW w:type="dxa" w:w="2160"/>
          </w:tcPr>
          <w:p>
            <w:r>
              <w:rPr>
                <w:sz w:val="20"/>
              </w:rPr>
              <w:t>14.3%</w:t>
            </w:r>
          </w:p>
        </w:tc>
        <w:tc>
          <w:tcPr>
            <w:tcW w:type="dxa" w:w="2160"/>
          </w:tcPr>
          <w:p>
            <w:r>
              <w:rPr>
                <w:sz w:val="20"/>
              </w:rPr>
              <w:t>Highest risk. Often Type 1 or aggressive early-onset Type 2. Possible adherence challenges.</w:t>
            </w:r>
          </w:p>
        </w:tc>
      </w:tr>
      <w:tr>
        <w:tc>
          <w:tcPr>
            <w:tcW w:type="dxa" w:w="2160"/>
          </w:tcPr>
          <w:p>
            <w:r>
              <w:rPr>
                <w:sz w:val="20"/>
              </w:rPr>
              <w:t>30–39</w:t>
            </w:r>
          </w:p>
        </w:tc>
        <w:tc>
          <w:tcPr>
            <w:tcW w:type="dxa" w:w="2160"/>
          </w:tcPr>
          <w:p>
            <w:r>
              <w:rPr>
                <w:sz w:val="20"/>
              </w:rPr>
              <w:t>5,793</w:t>
            </w:r>
          </w:p>
        </w:tc>
        <w:tc>
          <w:tcPr>
            <w:tcW w:type="dxa" w:w="2160"/>
          </w:tcPr>
          <w:p>
            <w:r>
              <w:rPr>
                <w:sz w:val="20"/>
              </w:rPr>
              <w:t>11.9%</w:t>
            </w:r>
          </w:p>
        </w:tc>
        <w:tc>
          <w:tcPr>
            <w:tcW w:type="dxa" w:w="2160"/>
          </w:tcPr>
          <w:p>
            <w:r>
              <w:rPr>
                <w:sz w:val="20"/>
              </w:rPr>
              <w:t>Still above average. Working-age patients with competing priorities.</w:t>
            </w:r>
          </w:p>
        </w:tc>
      </w:tr>
      <w:tr>
        <w:tc>
          <w:tcPr>
            <w:tcW w:type="dxa" w:w="2160"/>
          </w:tcPr>
          <w:p>
            <w:r>
              <w:rPr>
                <w:sz w:val="20"/>
              </w:rPr>
              <w:t>40–49</w:t>
            </w:r>
          </w:p>
        </w:tc>
        <w:tc>
          <w:tcPr>
            <w:tcW w:type="dxa" w:w="2160"/>
          </w:tcPr>
          <w:p>
            <w:r>
              <w:rPr>
                <w:sz w:val="20"/>
              </w:rPr>
              <w:t>10,816</w:t>
            </w:r>
          </w:p>
        </w:tc>
        <w:tc>
          <w:tcPr>
            <w:tcW w:type="dxa" w:w="2160"/>
          </w:tcPr>
          <w:p>
            <w:r>
              <w:rPr>
                <w:sz w:val="20"/>
              </w:rPr>
              <w:t>12.0%</w:t>
            </w:r>
          </w:p>
        </w:tc>
        <w:tc>
          <w:tcPr>
            <w:tcW w:type="dxa" w:w="2160"/>
          </w:tcPr>
          <w:p>
            <w:r>
              <w:rPr>
                <w:sz w:val="20"/>
              </w:rPr>
              <w:t>Similar to 30–39. Peak of metabolic syndrome prevalence.</w:t>
            </w:r>
          </w:p>
        </w:tc>
      </w:tr>
      <w:tr>
        <w:tc>
          <w:tcPr>
            <w:tcW w:type="dxa" w:w="2160"/>
          </w:tcPr>
          <w:p>
            <w:r>
              <w:rPr>
                <w:sz w:val="20"/>
              </w:rPr>
              <w:t>50–59</w:t>
            </w:r>
          </w:p>
        </w:tc>
        <w:tc>
          <w:tcPr>
            <w:tcW w:type="dxa" w:w="2160"/>
          </w:tcPr>
          <w:p>
            <w:r>
              <w:rPr>
                <w:sz w:val="20"/>
              </w:rPr>
              <w:t>11,408</w:t>
            </w:r>
          </w:p>
        </w:tc>
        <w:tc>
          <w:tcPr>
            <w:tcW w:type="dxa" w:w="2160"/>
          </w:tcPr>
          <w:p>
            <w:r>
              <w:rPr>
                <w:sz w:val="20"/>
              </w:rPr>
              <w:t>11.2%</w:t>
            </w:r>
          </w:p>
        </w:tc>
        <w:tc>
          <w:tcPr>
            <w:tcW w:type="dxa" w:w="2160"/>
          </w:tcPr>
          <w:p>
            <w:r>
              <w:rPr>
                <w:sz w:val="20"/>
              </w:rPr>
              <w:t>Risk begins to decline. More stable regimens.</w:t>
            </w:r>
          </w:p>
        </w:tc>
      </w:tr>
      <w:tr>
        <w:tc>
          <w:tcPr>
            <w:tcW w:type="dxa" w:w="2160"/>
          </w:tcPr>
          <w:p>
            <w:r>
              <w:rPr>
                <w:sz w:val="20"/>
              </w:rPr>
              <w:t>60–69</w:t>
            </w:r>
          </w:p>
        </w:tc>
        <w:tc>
          <w:tcPr>
            <w:tcW w:type="dxa" w:w="2160"/>
          </w:tcPr>
          <w:p>
            <w:r>
              <w:rPr>
                <w:sz w:val="20"/>
              </w:rPr>
              <w:t>14,649</w:t>
            </w:r>
          </w:p>
        </w:tc>
        <w:tc>
          <w:tcPr>
            <w:tcW w:type="dxa" w:w="2160"/>
          </w:tcPr>
          <w:p>
            <w:r>
              <w:rPr>
                <w:sz w:val="20"/>
              </w:rPr>
              <w:t>11.0%</w:t>
            </w:r>
          </w:p>
        </w:tc>
        <w:tc>
          <w:tcPr>
            <w:tcW w:type="dxa" w:w="2160"/>
          </w:tcPr>
          <w:p>
            <w:r>
              <w:rPr>
                <w:sz w:val="20"/>
              </w:rPr>
              <w:t>Near overall average (10.6%).</w:t>
            </w:r>
          </w:p>
        </w:tc>
      </w:tr>
      <w:tr>
        <w:tc>
          <w:tcPr>
            <w:tcW w:type="dxa" w:w="2160"/>
          </w:tcPr>
          <w:p>
            <w:r>
              <w:rPr>
                <w:sz w:val="20"/>
              </w:rPr>
              <w:t>70–79</w:t>
            </w:r>
          </w:p>
        </w:tc>
        <w:tc>
          <w:tcPr>
            <w:tcW w:type="dxa" w:w="2160"/>
          </w:tcPr>
          <w:p>
            <w:r>
              <w:rPr>
                <w:sz w:val="20"/>
              </w:rPr>
              <w:t>8,143</w:t>
            </w:r>
          </w:p>
        </w:tc>
        <w:tc>
          <w:tcPr>
            <w:tcW w:type="dxa" w:w="2160"/>
          </w:tcPr>
          <w:p>
            <w:r>
              <w:rPr>
                <w:sz w:val="20"/>
              </w:rPr>
              <w:t>8.8%</w:t>
            </w:r>
          </w:p>
        </w:tc>
        <w:tc>
          <w:tcPr>
            <w:tcW w:type="dxa" w:w="2160"/>
          </w:tcPr>
          <w:p>
            <w:r>
              <w:rPr>
                <w:sz w:val="20"/>
              </w:rPr>
              <w:t>Below average. Longer disease duration but stable management.</w:t>
            </w:r>
          </w:p>
        </w:tc>
      </w:tr>
      <w:tr>
        <w:tc>
          <w:tcPr>
            <w:tcW w:type="dxa" w:w="2160"/>
          </w:tcPr>
          <w:p>
            <w:r>
              <w:rPr>
                <w:sz w:val="20"/>
              </w:rPr>
              <w:t>80+</w:t>
            </w:r>
          </w:p>
        </w:tc>
        <w:tc>
          <w:tcPr>
            <w:tcW w:type="dxa" w:w="2160"/>
          </w:tcPr>
          <w:p>
            <w:r>
              <w:rPr>
                <w:sz w:val="20"/>
              </w:rPr>
              <w:t>3,085</w:t>
            </w:r>
          </w:p>
        </w:tc>
        <w:tc>
          <w:tcPr>
            <w:tcW w:type="dxa" w:w="2160"/>
          </w:tcPr>
          <w:p>
            <w:r>
              <w:rPr>
                <w:sz w:val="20"/>
              </w:rPr>
              <w:t>8.8%</w:t>
            </w:r>
          </w:p>
        </w:tc>
        <w:tc>
          <w:tcPr>
            <w:tcW w:type="dxa" w:w="2160"/>
          </w:tcPr>
          <w:p>
            <w:r>
              <w:rPr>
                <w:sz w:val="20"/>
              </w:rPr>
              <w:t>Lowest risk. Surviving cohort on well-established regimens.</w:t>
            </w:r>
          </w:p>
        </w:tc>
      </w:tr>
    </w:tbl>
    <w:p>
      <w:r>
        <w:t>Key finding: younger patients are harder to control. The under-30 group has a 14.3% uncontrolled rate — 63% higher than the 80+ group (8.8%). This "age paradox" (younger = sicker in terms of glycemic control) is well-documented in diabetes literature and likely reflects more aggressive disease biology, shorter treatment history, and adherence challenges in younger populations.</w:t>
      </w:r>
    </w:p>
    <w:p>
      <w:pPr>
        <w:pStyle w:val="Heading2"/>
      </w:pPr>
      <w:r>
        <w:t>1.2 Gender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Gender</w:t>
            </w:r>
          </w:p>
        </w:tc>
        <w:tc>
          <w:tcPr>
            <w:tcW w:type="dxa" w:w="2160"/>
          </w:tcPr>
          <w:p>
            <w:r>
              <w:rPr>
                <w:b/>
                <w:sz w:val="20"/>
              </w:rPr>
              <w:t>N patients</w:t>
            </w:r>
          </w:p>
        </w:tc>
        <w:tc>
          <w:tcPr>
            <w:tcW w:type="dxa" w:w="2160"/>
          </w:tcPr>
          <w:p>
            <w:r>
              <w:rPr>
                <w:b/>
                <w:sz w:val="20"/>
              </w:rPr>
              <w:t>% Uncontrolled</w:t>
            </w:r>
          </w:p>
        </w:tc>
        <w:tc>
          <w:tcPr>
            <w:tcW w:type="dxa" w:w="2160"/>
          </w:tcPr>
          <w:p>
            <w:r>
              <w:rPr>
                <w:b/>
                <w:sz w:val="20"/>
              </w:rPr>
              <w:t>Difference from overall (10.6%)</w:t>
            </w:r>
          </w:p>
        </w:tc>
      </w:tr>
      <w:tr>
        <w:tc>
          <w:tcPr>
            <w:tcW w:type="dxa" w:w="2160"/>
          </w:tcPr>
          <w:p>
            <w:r>
              <w:rPr>
                <w:sz w:val="20"/>
              </w:rPr>
              <w:t>Female</w:t>
            </w:r>
          </w:p>
        </w:tc>
        <w:tc>
          <w:tcPr>
            <w:tcW w:type="dxa" w:w="2160"/>
          </w:tcPr>
          <w:p>
            <w:r>
              <w:rPr>
                <w:sz w:val="20"/>
              </w:rPr>
              <w:t>33,035</w:t>
            </w:r>
          </w:p>
        </w:tc>
        <w:tc>
          <w:tcPr>
            <w:tcW w:type="dxa" w:w="2160"/>
          </w:tcPr>
          <w:p>
            <w:r>
              <w:rPr>
                <w:sz w:val="20"/>
              </w:rPr>
              <w:t>9.6%</w:t>
            </w:r>
          </w:p>
        </w:tc>
        <w:tc>
          <w:tcPr>
            <w:tcW w:type="dxa" w:w="2160"/>
          </w:tcPr>
          <w:p>
            <w:r>
              <w:rPr>
                <w:sz w:val="20"/>
              </w:rPr>
              <w:t>-1.0pp (lower risk)</w:t>
            </w:r>
          </w:p>
        </w:tc>
      </w:tr>
      <w:tr>
        <w:tc>
          <w:tcPr>
            <w:tcW w:type="dxa" w:w="2160"/>
          </w:tcPr>
          <w:p>
            <w:r>
              <w:rPr>
                <w:sz w:val="20"/>
              </w:rPr>
              <w:t>Male</w:t>
            </w:r>
          </w:p>
        </w:tc>
        <w:tc>
          <w:tcPr>
            <w:tcW w:type="dxa" w:w="2160"/>
          </w:tcPr>
          <w:p>
            <w:r>
              <w:rPr>
                <w:sz w:val="20"/>
              </w:rPr>
              <w:t>29,384</w:t>
            </w:r>
          </w:p>
        </w:tc>
        <w:tc>
          <w:tcPr>
            <w:tcW w:type="dxa" w:w="2160"/>
          </w:tcPr>
          <w:p>
            <w:r>
              <w:rPr>
                <w:sz w:val="20"/>
              </w:rPr>
              <w:t>11.8%</w:t>
            </w:r>
          </w:p>
        </w:tc>
        <w:tc>
          <w:tcPr>
            <w:tcW w:type="dxa" w:w="2160"/>
          </w:tcPr>
          <w:p>
            <w:r>
              <w:rPr>
                <w:sz w:val="20"/>
              </w:rPr>
              <w:t>+1.2pp (higher risk)</w:t>
            </w:r>
          </w:p>
        </w:tc>
      </w:tr>
    </w:tbl>
    <w:p>
      <w:r>
        <w:t>Males are 2.2 percentage points more likely to become uncontrolled than females. This is consistent with literature showing men are less likely to attend follow-up appointments, have different dietary patterns, and may have different metabolic responses to treatment.</w:t>
      </w:r>
    </w:p>
    <w:p>
      <w:pPr>
        <w:pStyle w:val="Heading2"/>
      </w:pPr>
      <w:r>
        <w:t>1.3 Race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Race</w:t>
            </w:r>
          </w:p>
        </w:tc>
        <w:tc>
          <w:tcPr>
            <w:tcW w:type="dxa" w:w="2160"/>
          </w:tcPr>
          <w:p>
            <w:r>
              <w:rPr>
                <w:b/>
                <w:sz w:val="20"/>
              </w:rPr>
              <w:t>N patients</w:t>
            </w:r>
          </w:p>
        </w:tc>
        <w:tc>
          <w:tcPr>
            <w:tcW w:type="dxa" w:w="2160"/>
          </w:tcPr>
          <w:p>
            <w:r>
              <w:rPr>
                <w:b/>
                <w:sz w:val="20"/>
              </w:rPr>
              <w:t>% Uncontrolled</w:t>
            </w:r>
          </w:p>
        </w:tc>
        <w:tc>
          <w:tcPr>
            <w:tcW w:type="dxa" w:w="2160"/>
          </w:tcPr>
          <w:p>
            <w:r>
              <w:rPr>
                <w:b/>
                <w:sz w:val="20"/>
              </w:rPr>
              <w:t>Relative to White (10.1%)</w:t>
            </w:r>
          </w:p>
        </w:tc>
      </w:tr>
      <w:tr>
        <w:tc>
          <w:tcPr>
            <w:tcW w:type="dxa" w:w="2160"/>
          </w:tcPr>
          <w:p>
            <w:r>
              <w:rPr>
                <w:sz w:val="20"/>
              </w:rPr>
              <w:t>Other Pacific Islander</w:t>
            </w:r>
          </w:p>
        </w:tc>
        <w:tc>
          <w:tcPr>
            <w:tcW w:type="dxa" w:w="2160"/>
          </w:tcPr>
          <w:p>
            <w:r>
              <w:rPr>
                <w:sz w:val="20"/>
              </w:rPr>
              <w:t>188</w:t>
            </w:r>
          </w:p>
        </w:tc>
        <w:tc>
          <w:tcPr>
            <w:tcW w:type="dxa" w:w="2160"/>
          </w:tcPr>
          <w:p>
            <w:r>
              <w:rPr>
                <w:sz w:val="20"/>
              </w:rPr>
              <w:t>15.4%</w:t>
            </w:r>
          </w:p>
        </w:tc>
        <w:tc>
          <w:tcPr>
            <w:tcW w:type="dxa" w:w="2160"/>
          </w:tcPr>
          <w:p>
            <w:r>
              <w:rPr>
                <w:sz w:val="20"/>
              </w:rPr>
              <w:t>+5.3pp (highest)</w:t>
            </w:r>
          </w:p>
        </w:tc>
      </w:tr>
      <w:tr>
        <w:tc>
          <w:tcPr>
            <w:tcW w:type="dxa" w:w="2160"/>
          </w:tcPr>
          <w:p>
            <w:r>
              <w:rPr>
                <w:sz w:val="20"/>
              </w:rPr>
              <w:t>American Indian or Alaska Native</w:t>
            </w:r>
          </w:p>
        </w:tc>
        <w:tc>
          <w:tcPr>
            <w:tcW w:type="dxa" w:w="2160"/>
          </w:tcPr>
          <w:p>
            <w:r>
              <w:rPr>
                <w:sz w:val="20"/>
              </w:rPr>
              <w:t>201</w:t>
            </w:r>
          </w:p>
        </w:tc>
        <w:tc>
          <w:tcPr>
            <w:tcW w:type="dxa" w:w="2160"/>
          </w:tcPr>
          <w:p>
            <w:r>
              <w:rPr>
                <w:sz w:val="20"/>
              </w:rPr>
              <w:t>14.9%</w:t>
            </w:r>
          </w:p>
        </w:tc>
        <w:tc>
          <w:tcPr>
            <w:tcW w:type="dxa" w:w="2160"/>
          </w:tcPr>
          <w:p>
            <w:r>
              <w:rPr>
                <w:sz w:val="20"/>
              </w:rPr>
              <w:t>+4.8pp</w:t>
            </w:r>
          </w:p>
        </w:tc>
      </w:tr>
      <w:tr>
        <w:tc>
          <w:tcPr>
            <w:tcW w:type="dxa" w:w="2160"/>
          </w:tcPr>
          <w:p>
            <w:r>
              <w:rPr>
                <w:sz w:val="20"/>
              </w:rPr>
              <w:t>Black or African American</w:t>
            </w:r>
          </w:p>
        </w:tc>
        <w:tc>
          <w:tcPr>
            <w:tcW w:type="dxa" w:w="2160"/>
          </w:tcPr>
          <w:p>
            <w:r>
              <w:rPr>
                <w:sz w:val="20"/>
              </w:rPr>
              <w:t>17,280</w:t>
            </w:r>
          </w:p>
        </w:tc>
        <w:tc>
          <w:tcPr>
            <w:tcW w:type="dxa" w:w="2160"/>
          </w:tcPr>
          <w:p>
            <w:r>
              <w:rPr>
                <w:sz w:val="20"/>
              </w:rPr>
              <w:t>11.9%</w:t>
            </w:r>
          </w:p>
        </w:tc>
        <w:tc>
          <w:tcPr>
            <w:tcW w:type="dxa" w:w="2160"/>
          </w:tcPr>
          <w:p>
            <w:r>
              <w:rPr>
                <w:sz w:val="20"/>
              </w:rPr>
              <w:t>+1.8pp</w:t>
            </w:r>
          </w:p>
        </w:tc>
      </w:tr>
      <w:tr>
        <w:tc>
          <w:tcPr>
            <w:tcW w:type="dxa" w:w="2160"/>
          </w:tcPr>
          <w:p>
            <w:r>
              <w:rPr>
                <w:sz w:val="20"/>
              </w:rPr>
              <w:t>Refuse to answer</w:t>
            </w:r>
          </w:p>
        </w:tc>
        <w:tc>
          <w:tcPr>
            <w:tcW w:type="dxa" w:w="2160"/>
          </w:tcPr>
          <w:p>
            <w:r>
              <w:rPr>
                <w:sz w:val="20"/>
              </w:rPr>
              <w:t>265</w:t>
            </w:r>
          </w:p>
        </w:tc>
        <w:tc>
          <w:tcPr>
            <w:tcW w:type="dxa" w:w="2160"/>
          </w:tcPr>
          <w:p>
            <w:r>
              <w:rPr>
                <w:sz w:val="20"/>
              </w:rPr>
              <w:t>10.2%</w:t>
            </w:r>
          </w:p>
        </w:tc>
        <w:tc>
          <w:tcPr>
            <w:tcW w:type="dxa" w:w="2160"/>
          </w:tcPr>
          <w:p>
            <w:r>
              <w:rPr>
                <w:sz w:val="20"/>
              </w:rPr>
              <w:t>+0.1pp</w:t>
            </w:r>
          </w:p>
        </w:tc>
      </w:tr>
      <w:tr>
        <w:tc>
          <w:tcPr>
            <w:tcW w:type="dxa" w:w="2160"/>
          </w:tcPr>
          <w:p>
            <w:r>
              <w:rPr>
                <w:sz w:val="20"/>
              </w:rPr>
              <w:t>Asian</w:t>
            </w:r>
          </w:p>
        </w:tc>
        <w:tc>
          <w:tcPr>
            <w:tcW w:type="dxa" w:w="2160"/>
          </w:tcPr>
          <w:p>
            <w:r>
              <w:rPr>
                <w:sz w:val="20"/>
              </w:rPr>
              <w:t>1,244</w:t>
            </w:r>
          </w:p>
        </w:tc>
        <w:tc>
          <w:tcPr>
            <w:tcW w:type="dxa" w:w="2160"/>
          </w:tcPr>
          <w:p>
            <w:r>
              <w:rPr>
                <w:sz w:val="20"/>
              </w:rPr>
              <w:t>10.2%</w:t>
            </w:r>
          </w:p>
        </w:tc>
        <w:tc>
          <w:tcPr>
            <w:tcW w:type="dxa" w:w="2160"/>
          </w:tcPr>
          <w:p>
            <w:r>
              <w:rPr>
                <w:sz w:val="20"/>
              </w:rPr>
              <w:t>+0.1pp</w:t>
            </w:r>
          </w:p>
        </w:tc>
      </w:tr>
      <w:tr>
        <w:tc>
          <w:tcPr>
            <w:tcW w:type="dxa" w:w="2160"/>
          </w:tcPr>
          <w:p>
            <w:r>
              <w:rPr>
                <w:sz w:val="20"/>
              </w:rPr>
              <w:t>White</w:t>
            </w:r>
          </w:p>
        </w:tc>
        <w:tc>
          <w:tcPr>
            <w:tcW w:type="dxa" w:w="2160"/>
          </w:tcPr>
          <w:p>
            <w:r>
              <w:rPr>
                <w:sz w:val="20"/>
              </w:rPr>
              <w:t>42,924</w:t>
            </w:r>
          </w:p>
        </w:tc>
        <w:tc>
          <w:tcPr>
            <w:tcW w:type="dxa" w:w="2160"/>
          </w:tcPr>
          <w:p>
            <w:r>
              <w:rPr>
                <w:sz w:val="20"/>
              </w:rPr>
              <w:t>10.1%</w:t>
            </w:r>
          </w:p>
        </w:tc>
        <w:tc>
          <w:tcPr>
            <w:tcW w:type="dxa" w:w="2160"/>
          </w:tcPr>
          <w:p>
            <w:r>
              <w:rPr>
                <w:sz w:val="20"/>
              </w:rPr>
              <w:t>Reference</w:t>
            </w:r>
          </w:p>
        </w:tc>
      </w:tr>
      <w:tr>
        <w:tc>
          <w:tcPr>
            <w:tcW w:type="dxa" w:w="2160"/>
          </w:tcPr>
          <w:p>
            <w:r>
              <w:rPr>
                <w:sz w:val="20"/>
              </w:rPr>
              <w:t>Unknown racial group</w:t>
            </w:r>
          </w:p>
        </w:tc>
        <w:tc>
          <w:tcPr>
            <w:tcW w:type="dxa" w:w="2160"/>
          </w:tcPr>
          <w:p>
            <w:r>
              <w:rPr>
                <w:sz w:val="20"/>
              </w:rPr>
              <w:t>259</w:t>
            </w:r>
          </w:p>
        </w:tc>
        <w:tc>
          <w:tcPr>
            <w:tcW w:type="dxa" w:w="2160"/>
          </w:tcPr>
          <w:p>
            <w:r>
              <w:rPr>
                <w:sz w:val="20"/>
              </w:rPr>
              <w:t>7.7%</w:t>
            </w:r>
          </w:p>
        </w:tc>
        <w:tc>
          <w:tcPr>
            <w:tcW w:type="dxa" w:w="2160"/>
          </w:tcPr>
          <w:p>
            <w:r>
              <w:rPr>
                <w:sz w:val="20"/>
              </w:rPr>
              <w:t>-2.4pp (lowest)</w:t>
            </w:r>
          </w:p>
        </w:tc>
      </w:tr>
    </w:tbl>
    <w:p>
      <w:r>
        <w:t>The disparities follow well-known patterns in diabetes epidemiology. Pacific Islander and American Indian populations have among the highest diabetes prevalence and worst outcomes nationally. Black patients have a 1.8pp higher uncontrolled rate than White patients, reflecting documented disparities in diabetes care quality, access, and social determinants. Note: Pacific Islander and American Indian groups have small sample sizes (188 and 201), so these estimates have wider confidence intervals.</w:t>
      </w:r>
    </w:p>
    <w:p>
      <w:pPr>
        <w:pStyle w:val="Heading2"/>
      </w:pPr>
      <w:r>
        <w:t>1.4 Ethnicity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Ethnicity</w:t>
            </w:r>
          </w:p>
        </w:tc>
        <w:tc>
          <w:tcPr>
            <w:tcW w:type="dxa" w:w="2880"/>
          </w:tcPr>
          <w:p>
            <w:r>
              <w:rPr>
                <w:b/>
                <w:sz w:val="20"/>
              </w:rPr>
              <w:t>N patients</w:t>
            </w:r>
          </w:p>
        </w:tc>
        <w:tc>
          <w:tcPr>
            <w:tcW w:type="dxa" w:w="2880"/>
          </w:tcPr>
          <w:p>
            <w:r>
              <w:rPr>
                <w:b/>
                <w:sz w:val="20"/>
              </w:rPr>
              <w:t>% Uncontrolled</w:t>
            </w:r>
          </w:p>
        </w:tc>
      </w:tr>
      <w:tr>
        <w:tc>
          <w:tcPr>
            <w:tcW w:type="dxa" w:w="2880"/>
          </w:tcPr>
          <w:p>
            <w:r>
              <w:rPr>
                <w:sz w:val="20"/>
              </w:rPr>
              <w:t>Not Hispanic or Latino</w:t>
            </w:r>
          </w:p>
        </w:tc>
        <w:tc>
          <w:tcPr>
            <w:tcW w:type="dxa" w:w="2880"/>
          </w:tcPr>
          <w:p>
            <w:r>
              <w:rPr>
                <w:sz w:val="20"/>
              </w:rPr>
              <w:t>60,743</w:t>
            </w:r>
          </w:p>
        </w:tc>
        <w:tc>
          <w:tcPr>
            <w:tcW w:type="dxa" w:w="2880"/>
          </w:tcPr>
          <w:p>
            <w:r>
              <w:rPr>
                <w:sz w:val="20"/>
              </w:rPr>
              <w:t>10.6%</w:t>
            </w:r>
          </w:p>
        </w:tc>
      </w:tr>
      <w:tr>
        <w:tc>
          <w:tcPr>
            <w:tcW w:type="dxa" w:w="2880"/>
          </w:tcPr>
          <w:p>
            <w:r>
              <w:rPr>
                <w:sz w:val="20"/>
              </w:rPr>
              <w:t>Hispanic or Latino</w:t>
            </w:r>
          </w:p>
        </w:tc>
        <w:tc>
          <w:tcPr>
            <w:tcW w:type="dxa" w:w="2880"/>
          </w:tcPr>
          <w:p>
            <w:r>
              <w:rPr>
                <w:sz w:val="20"/>
              </w:rPr>
              <w:t>1,077</w:t>
            </w:r>
          </w:p>
        </w:tc>
        <w:tc>
          <w:tcPr>
            <w:tcW w:type="dxa" w:w="2880"/>
          </w:tcPr>
          <w:p>
            <w:r>
              <w:rPr>
                <w:sz w:val="20"/>
              </w:rPr>
              <w:t>12.8%</w:t>
            </w:r>
          </w:p>
        </w:tc>
      </w:tr>
      <w:tr>
        <w:tc>
          <w:tcPr>
            <w:tcW w:type="dxa" w:w="2880"/>
          </w:tcPr>
          <w:p>
            <w:r>
              <w:rPr>
                <w:sz w:val="20"/>
              </w:rPr>
              <w:t>Refusal to provide</w:t>
            </w:r>
          </w:p>
        </w:tc>
        <w:tc>
          <w:tcPr>
            <w:tcW w:type="dxa" w:w="2880"/>
          </w:tcPr>
          <w:p>
            <w:r>
              <w:rPr>
                <w:sz w:val="20"/>
              </w:rPr>
              <w:t>404</w:t>
            </w:r>
          </w:p>
        </w:tc>
        <w:tc>
          <w:tcPr>
            <w:tcW w:type="dxa" w:w="2880"/>
          </w:tcPr>
          <w:p>
            <w:r>
              <w:rPr>
                <w:sz w:val="20"/>
              </w:rPr>
              <w:t>12.1%</w:t>
            </w:r>
          </w:p>
        </w:tc>
      </w:tr>
      <w:tr>
        <w:tc>
          <w:tcPr>
            <w:tcW w:type="dxa" w:w="2880"/>
          </w:tcPr>
          <w:p>
            <w:r>
              <w:rPr>
                <w:sz w:val="20"/>
              </w:rPr>
              <w:t>Unknown</w:t>
            </w:r>
          </w:p>
        </w:tc>
        <w:tc>
          <w:tcPr>
            <w:tcW w:type="dxa" w:w="2880"/>
          </w:tcPr>
          <w:p>
            <w:r>
              <w:rPr>
                <w:sz w:val="20"/>
              </w:rPr>
              <w:t>174</w:t>
            </w:r>
          </w:p>
        </w:tc>
        <w:tc>
          <w:tcPr>
            <w:tcW w:type="dxa" w:w="2880"/>
          </w:tcPr>
          <w:p>
            <w:r>
              <w:rPr>
                <w:sz w:val="20"/>
              </w:rPr>
              <w:t>5.2%</w:t>
            </w:r>
          </w:p>
        </w:tc>
      </w:tr>
    </w:tbl>
    <w:p>
      <w:r>
        <w:t>Hispanic patients have a 2.2pp higher uncontrolled rate, consistent with known higher diabetes burden in Hispanic/Latino populations. The small "unknown" group with low rates should be interpreted cautiously (n=174).</w:t>
      </w:r>
    </w:p>
    <w:p>
      <w:pPr>
        <w:jc w:val="center"/>
      </w:pPr>
      <w:r>
        <w:drawing>
          <wp:inline xmlns:a="http://schemas.openxmlformats.org/drawingml/2006/main" xmlns:pic="http://schemas.openxmlformats.org/drawingml/2006/picture">
            <wp:extent cx="5029200" cy="3666371"/>
            <wp:docPr id="1" name="Picture 1"/>
            <wp:cNvGraphicFramePr>
              <a:graphicFrameLocks noChangeAspect="1"/>
            </wp:cNvGraphicFramePr>
            <a:graphic>
              <a:graphicData uri="http://schemas.openxmlformats.org/drawingml/2006/picture">
                <pic:pic>
                  <pic:nvPicPr>
                    <pic:cNvPr id="0" name="step3_demographics.png"/>
                    <pic:cNvPicPr/>
                  </pic:nvPicPr>
                  <pic:blipFill>
                    <a:blip r:embed="rId9"/>
                    <a:stretch>
                      <a:fillRect/>
                    </a:stretch>
                  </pic:blipFill>
                  <pic:spPr>
                    <a:xfrm>
                      <a:off x="0" y="0"/>
                      <a:ext cx="5029200" cy="3666371"/>
                    </a:xfrm>
                    <a:prstGeom prst="rect"/>
                  </pic:spPr>
                </pic:pic>
              </a:graphicData>
            </a:graphic>
          </wp:inline>
        </w:drawing>
      </w:r>
    </w:p>
    <w:p>
      <w:pPr>
        <w:jc w:val="center"/>
      </w:pPr>
      <w:r>
        <w:rPr>
          <w:i/>
          <w:color w:val="666666"/>
          <w:sz w:val="18"/>
        </w:rPr>
        <w:t>Figure 1: Uncontrolled rates by age, gender, and race from our dataset.</w:t>
      </w:r>
    </w:p>
    <w:p>
      <w:r>
        <w:br w:type="page"/>
      </w:r>
    </w:p>
    <w:p>
      <w:pPr>
        <w:pStyle w:val="Heading1"/>
      </w:pPr>
      <w:r>
        <w:t>2. Full Subgroup Analysis — Model Fairness (Step 14)</w:t>
      </w:r>
    </w:p>
    <w:p>
      <w:r>
        <w:t>After building the final model (tuned XGBoost, AUC 0.852 overall), we evaluated its performance on the test set (12,485 patients) broken down by every demographic dimension. This is the evidence you need to demonstrate the model is equitable.</w:t>
      </w:r>
    </w:p>
    <w:p>
      <w:pPr>
        <w:pStyle w:val="Heading2"/>
      </w:pPr>
      <w:r>
        <w:t>2.1 Performance by Race</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Race</w:t>
            </w:r>
          </w:p>
        </w:tc>
        <w:tc>
          <w:tcPr>
            <w:tcW w:type="dxa" w:w="1234"/>
          </w:tcPr>
          <w:p>
            <w:r>
              <w:rPr>
                <w:b/>
                <w:sz w:val="20"/>
              </w:rPr>
              <w:t>N (test set)</w:t>
            </w:r>
          </w:p>
        </w:tc>
        <w:tc>
          <w:tcPr>
            <w:tcW w:type="dxa" w:w="1234"/>
          </w:tcPr>
          <w:p>
            <w:r>
              <w:rPr>
                <w:b/>
                <w:sz w:val="20"/>
              </w:rPr>
              <w:t>Prevalence</w:t>
            </w:r>
          </w:p>
        </w:tc>
        <w:tc>
          <w:tcPr>
            <w:tcW w:type="dxa" w:w="1234"/>
          </w:tcPr>
          <w:p>
            <w:r>
              <w:rPr>
                <w:b/>
                <w:sz w:val="20"/>
              </w:rPr>
              <w:t>AUC-ROC</w:t>
            </w:r>
          </w:p>
        </w:tc>
        <w:tc>
          <w:tcPr>
            <w:tcW w:type="dxa" w:w="1234"/>
          </w:tcPr>
          <w:p>
            <w:r>
              <w:rPr>
                <w:b/>
                <w:sz w:val="20"/>
              </w:rPr>
              <w:t>Recall</w:t>
            </w:r>
          </w:p>
        </w:tc>
        <w:tc>
          <w:tcPr>
            <w:tcW w:type="dxa" w:w="1234"/>
          </w:tcPr>
          <w:p>
            <w:r>
              <w:rPr>
                <w:b/>
                <w:sz w:val="20"/>
              </w:rPr>
              <w:t>Precision</w:t>
            </w:r>
          </w:p>
        </w:tc>
        <w:tc>
          <w:tcPr>
            <w:tcW w:type="dxa" w:w="1234"/>
          </w:tcPr>
          <w:p>
            <w:r>
              <w:rPr>
                <w:b/>
                <w:sz w:val="20"/>
              </w:rPr>
              <w:t>FPR</w:t>
            </w:r>
          </w:p>
        </w:tc>
      </w:tr>
      <w:tr>
        <w:tc>
          <w:tcPr>
            <w:tcW w:type="dxa" w:w="1234"/>
          </w:tcPr>
          <w:p>
            <w:r>
              <w:rPr>
                <w:sz w:val="20"/>
              </w:rPr>
              <w:t>Asian</w:t>
            </w:r>
          </w:p>
        </w:tc>
        <w:tc>
          <w:tcPr>
            <w:tcW w:type="dxa" w:w="1234"/>
          </w:tcPr>
          <w:p>
            <w:r>
              <w:rPr>
                <w:sz w:val="20"/>
              </w:rPr>
              <w:t>245</w:t>
            </w:r>
          </w:p>
        </w:tc>
        <w:tc>
          <w:tcPr>
            <w:tcW w:type="dxa" w:w="1234"/>
          </w:tcPr>
          <w:p>
            <w:r>
              <w:rPr>
                <w:sz w:val="20"/>
              </w:rPr>
              <w:t>12.2%</w:t>
            </w:r>
          </w:p>
        </w:tc>
        <w:tc>
          <w:tcPr>
            <w:tcW w:type="dxa" w:w="1234"/>
          </w:tcPr>
          <w:p>
            <w:r>
              <w:rPr>
                <w:sz w:val="20"/>
              </w:rPr>
              <w:t>0.880</w:t>
            </w:r>
          </w:p>
        </w:tc>
        <w:tc>
          <w:tcPr>
            <w:tcW w:type="dxa" w:w="1234"/>
          </w:tcPr>
          <w:p>
            <w:r>
              <w:rPr>
                <w:sz w:val="20"/>
              </w:rPr>
              <w:t>86.7%</w:t>
            </w:r>
          </w:p>
        </w:tc>
        <w:tc>
          <w:tcPr>
            <w:tcW w:type="dxa" w:w="1234"/>
          </w:tcPr>
          <w:p>
            <w:r>
              <w:rPr>
                <w:sz w:val="20"/>
              </w:rPr>
              <w:t>33.8%</w:t>
            </w:r>
          </w:p>
        </w:tc>
        <w:tc>
          <w:tcPr>
            <w:tcW w:type="dxa" w:w="1234"/>
          </w:tcPr>
          <w:p>
            <w:r>
              <w:rPr>
                <w:sz w:val="20"/>
              </w:rPr>
              <w:t>23.7%</w:t>
            </w:r>
          </w:p>
        </w:tc>
      </w:tr>
      <w:tr>
        <w:tc>
          <w:tcPr>
            <w:tcW w:type="dxa" w:w="1234"/>
          </w:tcPr>
          <w:p>
            <w:r>
              <w:rPr>
                <w:sz w:val="20"/>
              </w:rPr>
              <w:t>Black or African American</w:t>
            </w:r>
          </w:p>
        </w:tc>
        <w:tc>
          <w:tcPr>
            <w:tcW w:type="dxa" w:w="1234"/>
          </w:tcPr>
          <w:p>
            <w:r>
              <w:rPr>
                <w:sz w:val="20"/>
              </w:rPr>
              <w:t>3,395</w:t>
            </w:r>
          </w:p>
        </w:tc>
        <w:tc>
          <w:tcPr>
            <w:tcW w:type="dxa" w:w="1234"/>
          </w:tcPr>
          <w:p>
            <w:r>
              <w:rPr>
                <w:sz w:val="20"/>
              </w:rPr>
              <w:t>11.6%</w:t>
            </w:r>
          </w:p>
        </w:tc>
        <w:tc>
          <w:tcPr>
            <w:tcW w:type="dxa" w:w="1234"/>
          </w:tcPr>
          <w:p>
            <w:r>
              <w:rPr>
                <w:sz w:val="20"/>
              </w:rPr>
              <w:t>0.860</w:t>
            </w:r>
          </w:p>
        </w:tc>
        <w:tc>
          <w:tcPr>
            <w:tcW w:type="dxa" w:w="1234"/>
          </w:tcPr>
          <w:p>
            <w:r>
              <w:rPr>
                <w:sz w:val="20"/>
              </w:rPr>
              <w:t>84.8%</w:t>
            </w:r>
          </w:p>
        </w:tc>
        <w:tc>
          <w:tcPr>
            <w:tcW w:type="dxa" w:w="1234"/>
          </w:tcPr>
          <w:p>
            <w:r>
              <w:rPr>
                <w:sz w:val="20"/>
              </w:rPr>
              <w:t>28.8%</w:t>
            </w:r>
          </w:p>
        </w:tc>
        <w:tc>
          <w:tcPr>
            <w:tcW w:type="dxa" w:w="1234"/>
          </w:tcPr>
          <w:p>
            <w:r>
              <w:rPr>
                <w:sz w:val="20"/>
              </w:rPr>
              <w:t>27.6%</w:t>
            </w:r>
          </w:p>
        </w:tc>
      </w:tr>
      <w:tr>
        <w:tc>
          <w:tcPr>
            <w:tcW w:type="dxa" w:w="1234"/>
          </w:tcPr>
          <w:p>
            <w:r>
              <w:rPr>
                <w:sz w:val="20"/>
              </w:rPr>
              <w:t>White</w:t>
            </w:r>
          </w:p>
        </w:tc>
        <w:tc>
          <w:tcPr>
            <w:tcW w:type="dxa" w:w="1234"/>
          </w:tcPr>
          <w:p>
            <w:r>
              <w:rPr>
                <w:sz w:val="20"/>
              </w:rPr>
              <w:t>8,672</w:t>
            </w:r>
          </w:p>
        </w:tc>
        <w:tc>
          <w:tcPr>
            <w:tcW w:type="dxa" w:w="1234"/>
          </w:tcPr>
          <w:p>
            <w:r>
              <w:rPr>
                <w:sz w:val="20"/>
              </w:rPr>
              <w:t>10.1%</w:t>
            </w:r>
          </w:p>
        </w:tc>
        <w:tc>
          <w:tcPr>
            <w:tcW w:type="dxa" w:w="1234"/>
          </w:tcPr>
          <w:p>
            <w:r>
              <w:rPr>
                <w:sz w:val="20"/>
              </w:rPr>
              <w:t>0.847</w:t>
            </w:r>
          </w:p>
        </w:tc>
        <w:tc>
          <w:tcPr>
            <w:tcW w:type="dxa" w:w="1234"/>
          </w:tcPr>
          <w:p>
            <w:r>
              <w:rPr>
                <w:sz w:val="20"/>
              </w:rPr>
              <w:t>78.5%</w:t>
            </w:r>
          </w:p>
        </w:tc>
        <w:tc>
          <w:tcPr>
            <w:tcW w:type="dxa" w:w="1234"/>
          </w:tcPr>
          <w:p>
            <w:r>
              <w:rPr>
                <w:sz w:val="20"/>
              </w:rPr>
              <w:t>26.0%</w:t>
            </w:r>
          </w:p>
        </w:tc>
        <w:tc>
          <w:tcPr>
            <w:tcW w:type="dxa" w:w="1234"/>
          </w:tcPr>
          <w:p>
            <w:r>
              <w:rPr>
                <w:sz w:val="20"/>
              </w:rPr>
              <w:t>25.1%</w:t>
            </w:r>
          </w:p>
        </w:tc>
      </w:tr>
    </w:tbl>
    <w:p>
      <w:r>
        <w:t>AUC gap across race: 0.033 (0.847 to 0.880). This is a narrow range indicating consistent discrimination ability across racial groups.</w:t>
      </w:r>
    </w:p>
    <w:p>
      <w:r>
        <w:rPr>
          <w:b/>
        </w:rPr>
        <w:t>Critical finding: the model performs BETTER for minority groups.</w:t>
      </w:r>
    </w:p>
    <w:p>
      <w:r>
        <w:t>Asian patients: AUC 0.880, recall 86.7%. Black patients: AUC 0.860, recall 84.8%. White patients: AUC 0.847, recall 78.5%. The model catches more uncontrolled patients in minority groups, not fewer. This is the opposite of the bias pattern that many clinical prediction models exhibit.</w:t>
      </w:r>
    </w:p>
    <w:p>
      <w:r>
        <w:t>Note: American Indian/Alaska Native (n=~40 in test) and Other Pacific Islander (n=~38 in test) were excluded from AUC calculation because their test set samples were too small for reliable estimates (n &lt; 50).</w:t>
      </w:r>
    </w:p>
    <w:p>
      <w:pPr>
        <w:pStyle w:val="Heading2"/>
      </w:pPr>
      <w:r>
        <w:t>2.2 Performance by Gender</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Gender</w:t>
            </w:r>
          </w:p>
        </w:tc>
        <w:tc>
          <w:tcPr>
            <w:tcW w:type="dxa" w:w="1234"/>
          </w:tcPr>
          <w:p>
            <w:r>
              <w:rPr>
                <w:b/>
                <w:sz w:val="20"/>
              </w:rPr>
              <w:t>N (test set)</w:t>
            </w:r>
          </w:p>
        </w:tc>
        <w:tc>
          <w:tcPr>
            <w:tcW w:type="dxa" w:w="1234"/>
          </w:tcPr>
          <w:p>
            <w:r>
              <w:rPr>
                <w:b/>
                <w:sz w:val="20"/>
              </w:rPr>
              <w:t>Prevalence</w:t>
            </w:r>
          </w:p>
        </w:tc>
        <w:tc>
          <w:tcPr>
            <w:tcW w:type="dxa" w:w="1234"/>
          </w:tcPr>
          <w:p>
            <w:r>
              <w:rPr>
                <w:b/>
                <w:sz w:val="20"/>
              </w:rPr>
              <w:t>AUC-ROC</w:t>
            </w:r>
          </w:p>
        </w:tc>
        <w:tc>
          <w:tcPr>
            <w:tcW w:type="dxa" w:w="1234"/>
          </w:tcPr>
          <w:p>
            <w:r>
              <w:rPr>
                <w:b/>
                <w:sz w:val="20"/>
              </w:rPr>
              <w:t>Recall</w:t>
            </w:r>
          </w:p>
        </w:tc>
        <w:tc>
          <w:tcPr>
            <w:tcW w:type="dxa" w:w="1234"/>
          </w:tcPr>
          <w:p>
            <w:r>
              <w:rPr>
                <w:b/>
                <w:sz w:val="20"/>
              </w:rPr>
              <w:t>Precision</w:t>
            </w:r>
          </w:p>
        </w:tc>
        <w:tc>
          <w:tcPr>
            <w:tcW w:type="dxa" w:w="1234"/>
          </w:tcPr>
          <w:p>
            <w:r>
              <w:rPr>
                <w:b/>
                <w:sz w:val="20"/>
              </w:rPr>
              <w:t>FPR</w:t>
            </w:r>
          </w:p>
        </w:tc>
      </w:tr>
      <w:tr>
        <w:tc>
          <w:tcPr>
            <w:tcW w:type="dxa" w:w="1234"/>
          </w:tcPr>
          <w:p>
            <w:r>
              <w:rPr>
                <w:sz w:val="20"/>
              </w:rPr>
              <w:t>Female</w:t>
            </w:r>
          </w:p>
        </w:tc>
        <w:tc>
          <w:tcPr>
            <w:tcW w:type="dxa" w:w="1234"/>
          </w:tcPr>
          <w:p>
            <w:r>
              <w:rPr>
                <w:sz w:val="20"/>
              </w:rPr>
              <w:t>6,498</w:t>
            </w:r>
          </w:p>
        </w:tc>
        <w:tc>
          <w:tcPr>
            <w:tcW w:type="dxa" w:w="1234"/>
          </w:tcPr>
          <w:p>
            <w:r>
              <w:rPr>
                <w:sz w:val="20"/>
              </w:rPr>
              <w:t>9.5%</w:t>
            </w:r>
          </w:p>
        </w:tc>
        <w:tc>
          <w:tcPr>
            <w:tcW w:type="dxa" w:w="1234"/>
          </w:tcPr>
          <w:p>
            <w:r>
              <w:rPr>
                <w:sz w:val="20"/>
              </w:rPr>
              <w:t>0.872</w:t>
            </w:r>
          </w:p>
        </w:tc>
        <w:tc>
          <w:tcPr>
            <w:tcW w:type="dxa" w:w="1234"/>
          </w:tcPr>
          <w:p>
            <w:r>
              <w:rPr>
                <w:sz w:val="20"/>
              </w:rPr>
              <w:t>82.7%</w:t>
            </w:r>
          </w:p>
        </w:tc>
        <w:tc>
          <w:tcPr>
            <w:tcW w:type="dxa" w:w="1234"/>
          </w:tcPr>
          <w:p>
            <w:r>
              <w:rPr>
                <w:sz w:val="20"/>
              </w:rPr>
              <w:t>27.6%</w:t>
            </w:r>
          </w:p>
        </w:tc>
        <w:tc>
          <w:tcPr>
            <w:tcW w:type="dxa" w:w="1234"/>
          </w:tcPr>
          <w:p>
            <w:r>
              <w:rPr>
                <w:sz w:val="20"/>
              </w:rPr>
              <w:t>22.8%</w:t>
            </w:r>
          </w:p>
        </w:tc>
      </w:tr>
      <w:tr>
        <w:tc>
          <w:tcPr>
            <w:tcW w:type="dxa" w:w="1234"/>
          </w:tcPr>
          <w:p>
            <w:r>
              <w:rPr>
                <w:sz w:val="20"/>
              </w:rPr>
              <w:t>Male</w:t>
            </w:r>
          </w:p>
        </w:tc>
        <w:tc>
          <w:tcPr>
            <w:tcW w:type="dxa" w:w="1234"/>
          </w:tcPr>
          <w:p>
            <w:r>
              <w:rPr>
                <w:sz w:val="20"/>
              </w:rPr>
              <w:t>5,986</w:t>
            </w:r>
          </w:p>
        </w:tc>
        <w:tc>
          <w:tcPr>
            <w:tcW w:type="dxa" w:w="1234"/>
          </w:tcPr>
          <w:p>
            <w:r>
              <w:rPr>
                <w:sz w:val="20"/>
              </w:rPr>
              <w:t>11.8%</w:t>
            </w:r>
          </w:p>
        </w:tc>
        <w:tc>
          <w:tcPr>
            <w:tcW w:type="dxa" w:w="1234"/>
          </w:tcPr>
          <w:p>
            <w:r>
              <w:rPr>
                <w:sz w:val="20"/>
              </w:rPr>
              <w:t>0.829</w:t>
            </w:r>
          </w:p>
        </w:tc>
        <w:tc>
          <w:tcPr>
            <w:tcW w:type="dxa" w:w="1234"/>
          </w:tcPr>
          <w:p>
            <w:r>
              <w:rPr>
                <w:sz w:val="20"/>
              </w:rPr>
              <w:t>78.8%</w:t>
            </w:r>
          </w:p>
        </w:tc>
        <w:tc>
          <w:tcPr>
            <w:tcW w:type="dxa" w:w="1234"/>
          </w:tcPr>
          <w:p>
            <w:r>
              <w:rPr>
                <w:sz w:val="20"/>
              </w:rPr>
              <w:t>26.6%</w:t>
            </w:r>
          </w:p>
        </w:tc>
        <w:tc>
          <w:tcPr>
            <w:tcW w:type="dxa" w:w="1234"/>
          </w:tcPr>
          <w:p>
            <w:r>
              <w:rPr>
                <w:sz w:val="20"/>
              </w:rPr>
              <w:t>29.3%</w:t>
            </w:r>
          </w:p>
        </w:tc>
      </w:tr>
    </w:tbl>
    <w:p>
      <w:r>
        <w:t>AUC gap: 0.043. The model discriminates better for women (0.872 vs 0.829). Males have a higher false positive rate (29.3% vs 22.8%), meaning more men are unnecessarily flagged. This may reflect that male patients have more heterogeneous risk profiles that are harder to predict. Both genders are well above the 0.80 threshold for "good" AUC.</w:t>
      </w:r>
    </w:p>
    <w:p>
      <w:pPr>
        <w:pStyle w:val="Heading2"/>
      </w:pPr>
      <w:r>
        <w:t>2.3 Performance by Age Group</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Age group</w:t>
            </w:r>
          </w:p>
        </w:tc>
        <w:tc>
          <w:tcPr>
            <w:tcW w:type="dxa" w:w="1440"/>
          </w:tcPr>
          <w:p>
            <w:r>
              <w:rPr>
                <w:b/>
                <w:sz w:val="20"/>
              </w:rPr>
              <w:t>N (test set)</w:t>
            </w:r>
          </w:p>
        </w:tc>
        <w:tc>
          <w:tcPr>
            <w:tcW w:type="dxa" w:w="1440"/>
          </w:tcPr>
          <w:p>
            <w:r>
              <w:rPr>
                <w:b/>
                <w:sz w:val="20"/>
              </w:rPr>
              <w:t>Prevalence</w:t>
            </w:r>
          </w:p>
        </w:tc>
        <w:tc>
          <w:tcPr>
            <w:tcW w:type="dxa" w:w="1440"/>
          </w:tcPr>
          <w:p>
            <w:r>
              <w:rPr>
                <w:b/>
                <w:sz w:val="20"/>
              </w:rPr>
              <w:t>AUC-ROC</w:t>
            </w:r>
          </w:p>
        </w:tc>
        <w:tc>
          <w:tcPr>
            <w:tcW w:type="dxa" w:w="1440"/>
          </w:tcPr>
          <w:p>
            <w:r>
              <w:rPr>
                <w:b/>
                <w:sz w:val="20"/>
              </w:rPr>
              <w:t>Recall</w:t>
            </w:r>
          </w:p>
        </w:tc>
        <w:tc>
          <w:tcPr>
            <w:tcW w:type="dxa" w:w="1440"/>
          </w:tcPr>
          <w:p>
            <w:r>
              <w:rPr>
                <w:b/>
                <w:sz w:val="20"/>
              </w:rPr>
              <w:t>FPR</w:t>
            </w:r>
          </w:p>
        </w:tc>
      </w:tr>
      <w:tr>
        <w:tc>
          <w:tcPr>
            <w:tcW w:type="dxa" w:w="1440"/>
          </w:tcPr>
          <w:p>
            <w:r>
              <w:rPr>
                <w:sz w:val="20"/>
              </w:rPr>
              <w:t>&lt; 40</w:t>
            </w:r>
          </w:p>
        </w:tc>
        <w:tc>
          <w:tcPr>
            <w:tcW w:type="dxa" w:w="1440"/>
          </w:tcPr>
          <w:p>
            <w:r>
              <w:rPr>
                <w:sz w:val="20"/>
              </w:rPr>
              <w:t>677</w:t>
            </w:r>
          </w:p>
        </w:tc>
        <w:tc>
          <w:tcPr>
            <w:tcW w:type="dxa" w:w="1440"/>
          </w:tcPr>
          <w:p>
            <w:r>
              <w:rPr>
                <w:sz w:val="20"/>
              </w:rPr>
              <w:t>11.4%</w:t>
            </w:r>
          </w:p>
        </w:tc>
        <w:tc>
          <w:tcPr>
            <w:tcW w:type="dxa" w:w="1440"/>
          </w:tcPr>
          <w:p>
            <w:r>
              <w:rPr>
                <w:sz w:val="20"/>
              </w:rPr>
              <w:t>0.854</w:t>
            </w:r>
          </w:p>
        </w:tc>
        <w:tc>
          <w:tcPr>
            <w:tcW w:type="dxa" w:w="1440"/>
          </w:tcPr>
          <w:p>
            <w:r>
              <w:rPr>
                <w:sz w:val="20"/>
              </w:rPr>
              <w:t>83.1%</w:t>
            </w:r>
          </w:p>
        </w:tc>
        <w:tc>
          <w:tcPr>
            <w:tcW w:type="dxa" w:w="1440"/>
          </w:tcPr>
          <w:p>
            <w:r>
              <w:rPr>
                <w:sz w:val="20"/>
              </w:rPr>
              <w:t>32.2%</w:t>
            </w:r>
          </w:p>
        </w:tc>
      </w:tr>
      <w:tr>
        <w:tc>
          <w:tcPr>
            <w:tcW w:type="dxa" w:w="1440"/>
          </w:tcPr>
          <w:p>
            <w:r>
              <w:rPr>
                <w:sz w:val="20"/>
              </w:rPr>
              <w:t>40–54</w:t>
            </w:r>
          </w:p>
        </w:tc>
        <w:tc>
          <w:tcPr>
            <w:tcW w:type="dxa" w:w="1440"/>
          </w:tcPr>
          <w:p>
            <w:r>
              <w:rPr>
                <w:sz w:val="20"/>
              </w:rPr>
              <w:t>2,141</w:t>
            </w:r>
          </w:p>
        </w:tc>
        <w:tc>
          <w:tcPr>
            <w:tcW w:type="dxa" w:w="1440"/>
          </w:tcPr>
          <w:p>
            <w:r>
              <w:rPr>
                <w:sz w:val="20"/>
              </w:rPr>
              <w:t>12.9%</w:t>
            </w:r>
          </w:p>
        </w:tc>
        <w:tc>
          <w:tcPr>
            <w:tcW w:type="dxa" w:w="1440"/>
          </w:tcPr>
          <w:p>
            <w:r>
              <w:rPr>
                <w:sz w:val="20"/>
              </w:rPr>
              <w:t>0.837</w:t>
            </w:r>
          </w:p>
        </w:tc>
        <w:tc>
          <w:tcPr>
            <w:tcW w:type="dxa" w:w="1440"/>
          </w:tcPr>
          <w:p>
            <w:r>
              <w:rPr>
                <w:sz w:val="20"/>
              </w:rPr>
              <w:t>84.5%</w:t>
            </w:r>
          </w:p>
        </w:tc>
        <w:tc>
          <w:tcPr>
            <w:tcW w:type="dxa" w:w="1440"/>
          </w:tcPr>
          <w:p>
            <w:r>
              <w:rPr>
                <w:sz w:val="20"/>
              </w:rPr>
              <w:t>32.6%</w:t>
            </w:r>
          </w:p>
        </w:tc>
      </w:tr>
      <w:tr>
        <w:tc>
          <w:tcPr>
            <w:tcW w:type="dxa" w:w="1440"/>
          </w:tcPr>
          <w:p>
            <w:r>
              <w:rPr>
                <w:sz w:val="20"/>
              </w:rPr>
              <w:t>55–64</w:t>
            </w:r>
          </w:p>
        </w:tc>
        <w:tc>
          <w:tcPr>
            <w:tcW w:type="dxa" w:w="1440"/>
          </w:tcPr>
          <w:p>
            <w:r>
              <w:rPr>
                <w:sz w:val="20"/>
              </w:rPr>
              <w:t>2,783</w:t>
            </w:r>
          </w:p>
        </w:tc>
        <w:tc>
          <w:tcPr>
            <w:tcW w:type="dxa" w:w="1440"/>
          </w:tcPr>
          <w:p>
            <w:r>
              <w:rPr>
                <w:sz w:val="20"/>
              </w:rPr>
              <w:t>11.5%</w:t>
            </w:r>
          </w:p>
        </w:tc>
        <w:tc>
          <w:tcPr>
            <w:tcW w:type="dxa" w:w="1440"/>
          </w:tcPr>
          <w:p>
            <w:r>
              <w:rPr>
                <w:sz w:val="20"/>
              </w:rPr>
              <w:t>0.840</w:t>
            </w:r>
          </w:p>
        </w:tc>
        <w:tc>
          <w:tcPr>
            <w:tcW w:type="dxa" w:w="1440"/>
          </w:tcPr>
          <w:p>
            <w:r>
              <w:rPr>
                <w:sz w:val="20"/>
              </w:rPr>
              <w:t>81.6%</w:t>
            </w:r>
          </w:p>
        </w:tc>
        <w:tc>
          <w:tcPr>
            <w:tcW w:type="dxa" w:w="1440"/>
          </w:tcPr>
          <w:p>
            <w:r>
              <w:rPr>
                <w:sz w:val="20"/>
              </w:rPr>
              <w:t>29.8%</w:t>
            </w:r>
          </w:p>
        </w:tc>
      </w:tr>
      <w:tr>
        <w:tc>
          <w:tcPr>
            <w:tcW w:type="dxa" w:w="1440"/>
          </w:tcPr>
          <w:p>
            <w:r>
              <w:rPr>
                <w:sz w:val="20"/>
              </w:rPr>
              <w:t>65–74</w:t>
            </w:r>
          </w:p>
        </w:tc>
        <w:tc>
          <w:tcPr>
            <w:tcW w:type="dxa" w:w="1440"/>
          </w:tcPr>
          <w:p>
            <w:r>
              <w:rPr>
                <w:sz w:val="20"/>
              </w:rPr>
              <w:t>3,871</w:t>
            </w:r>
          </w:p>
        </w:tc>
        <w:tc>
          <w:tcPr>
            <w:tcW w:type="dxa" w:w="1440"/>
          </w:tcPr>
          <w:p>
            <w:r>
              <w:rPr>
                <w:sz w:val="20"/>
              </w:rPr>
              <w:t>10.4%</w:t>
            </w:r>
          </w:p>
        </w:tc>
        <w:tc>
          <w:tcPr>
            <w:tcW w:type="dxa" w:w="1440"/>
          </w:tcPr>
          <w:p>
            <w:r>
              <w:rPr>
                <w:sz w:val="20"/>
              </w:rPr>
              <w:t>0.857</w:t>
            </w:r>
          </w:p>
        </w:tc>
        <w:tc>
          <w:tcPr>
            <w:tcW w:type="dxa" w:w="1440"/>
          </w:tcPr>
          <w:p>
            <w:r>
              <w:rPr>
                <w:sz w:val="20"/>
              </w:rPr>
              <w:t>80.1%</w:t>
            </w:r>
          </w:p>
        </w:tc>
        <w:tc>
          <w:tcPr>
            <w:tcW w:type="dxa" w:w="1440"/>
          </w:tcPr>
          <w:p>
            <w:r>
              <w:rPr>
                <w:sz w:val="20"/>
              </w:rPr>
              <w:t>23.5%</w:t>
            </w:r>
          </w:p>
        </w:tc>
      </w:tr>
      <w:tr>
        <w:tc>
          <w:tcPr>
            <w:tcW w:type="dxa" w:w="1440"/>
          </w:tcPr>
          <w:p>
            <w:r>
              <w:rPr>
                <w:sz w:val="20"/>
              </w:rPr>
              <w:t>75+</w:t>
            </w:r>
          </w:p>
        </w:tc>
        <w:tc>
          <w:tcPr>
            <w:tcW w:type="dxa" w:w="1440"/>
          </w:tcPr>
          <w:p>
            <w:r>
              <w:rPr>
                <w:sz w:val="20"/>
              </w:rPr>
              <w:t>3,013</w:t>
            </w:r>
          </w:p>
        </w:tc>
        <w:tc>
          <w:tcPr>
            <w:tcW w:type="dxa" w:w="1440"/>
          </w:tcPr>
          <w:p>
            <w:r>
              <w:rPr>
                <w:sz w:val="20"/>
              </w:rPr>
              <w:t>8.3%</w:t>
            </w:r>
          </w:p>
        </w:tc>
        <w:tc>
          <w:tcPr>
            <w:tcW w:type="dxa" w:w="1440"/>
          </w:tcPr>
          <w:p>
            <w:r>
              <w:rPr>
                <w:sz w:val="20"/>
              </w:rPr>
              <w:t>0.861</w:t>
            </w:r>
          </w:p>
        </w:tc>
        <w:tc>
          <w:tcPr>
            <w:tcW w:type="dxa" w:w="1440"/>
          </w:tcPr>
          <w:p>
            <w:r>
              <w:rPr>
                <w:sz w:val="20"/>
              </w:rPr>
              <w:t>75.1%</w:t>
            </w:r>
          </w:p>
        </w:tc>
        <w:tc>
          <w:tcPr>
            <w:tcW w:type="dxa" w:w="1440"/>
          </w:tcPr>
          <w:p>
            <w:r>
              <w:rPr>
                <w:sz w:val="20"/>
              </w:rPr>
              <w:t>19.4%</w:t>
            </w:r>
          </w:p>
        </w:tc>
      </w:tr>
    </w:tbl>
    <w:p>
      <w:r>
        <w:t>AUC gap: 0.025 (0.837 to 0.861). Very consistent across age groups. Recall is higher for younger patients (83–85% for &lt; 55 vs 75% for 75+), which is clinically appropriate — younger patients with more aggressive disease have stronger signals for the model to detect. The false positive rate decreases with age, meaning the model is more specific for older patients.</w:t>
      </w:r>
    </w:p>
    <w:p>
      <w:pPr>
        <w:pStyle w:val="Heading2"/>
      </w:pPr>
      <w:r>
        <w:t>2.4 Performance by Insurance Type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Insurance</w:t>
            </w:r>
          </w:p>
        </w:tc>
        <w:tc>
          <w:tcPr>
            <w:tcW w:type="dxa" w:w="1728"/>
          </w:tcPr>
          <w:p>
            <w:r>
              <w:rPr>
                <w:b/>
                <w:sz w:val="20"/>
              </w:rPr>
              <w:t>N (test set)</w:t>
            </w:r>
          </w:p>
        </w:tc>
        <w:tc>
          <w:tcPr>
            <w:tcW w:type="dxa" w:w="1728"/>
          </w:tcPr>
          <w:p>
            <w:r>
              <w:rPr>
                <w:b/>
                <w:sz w:val="20"/>
              </w:rPr>
              <w:t>Prevalence</w:t>
            </w:r>
          </w:p>
        </w:tc>
        <w:tc>
          <w:tcPr>
            <w:tcW w:type="dxa" w:w="1728"/>
          </w:tcPr>
          <w:p>
            <w:r>
              <w:rPr>
                <w:b/>
                <w:sz w:val="20"/>
              </w:rPr>
              <w:t>AUC-ROC</w:t>
            </w:r>
          </w:p>
        </w:tc>
        <w:tc>
          <w:tcPr>
            <w:tcW w:type="dxa" w:w="1728"/>
          </w:tcPr>
          <w:p>
            <w:r>
              <w:rPr>
                <w:b/>
                <w:sz w:val="20"/>
              </w:rPr>
              <w:t>Recall</w:t>
            </w:r>
          </w:p>
        </w:tc>
      </w:tr>
      <w:tr>
        <w:tc>
          <w:tcPr>
            <w:tcW w:type="dxa" w:w="1728"/>
          </w:tcPr>
          <w:p>
            <w:r>
              <w:rPr>
                <w:sz w:val="20"/>
              </w:rPr>
              <w:t>Managed Care, Unspecified</w:t>
            </w:r>
          </w:p>
        </w:tc>
        <w:tc>
          <w:tcPr>
            <w:tcW w:type="dxa" w:w="1728"/>
          </w:tcPr>
          <w:p>
            <w:r>
              <w:rPr>
                <w:sz w:val="20"/>
              </w:rPr>
              <w:t>559</w:t>
            </w:r>
          </w:p>
        </w:tc>
        <w:tc>
          <w:tcPr>
            <w:tcW w:type="dxa" w:w="1728"/>
          </w:tcPr>
          <w:p>
            <w:r>
              <w:rPr>
                <w:sz w:val="20"/>
              </w:rPr>
              <w:t>14.5%</w:t>
            </w:r>
          </w:p>
        </w:tc>
        <w:tc>
          <w:tcPr>
            <w:tcW w:type="dxa" w:w="1728"/>
          </w:tcPr>
          <w:p>
            <w:r>
              <w:rPr>
                <w:sz w:val="20"/>
              </w:rPr>
              <w:t>0.858</w:t>
            </w:r>
          </w:p>
        </w:tc>
        <w:tc>
          <w:tcPr>
            <w:tcW w:type="dxa" w:w="1728"/>
          </w:tcPr>
          <w:p>
            <w:r>
              <w:rPr>
                <w:sz w:val="20"/>
              </w:rPr>
              <w:t>86.4%</w:t>
            </w:r>
          </w:p>
        </w:tc>
      </w:tr>
      <w:tr>
        <w:tc>
          <w:tcPr>
            <w:tcW w:type="dxa" w:w="1728"/>
          </w:tcPr>
          <w:p>
            <w:r>
              <w:rPr>
                <w:sz w:val="20"/>
              </w:rPr>
              <w:t>Blue Cross Managed Care</w:t>
            </w:r>
          </w:p>
        </w:tc>
        <w:tc>
          <w:tcPr>
            <w:tcW w:type="dxa" w:w="1728"/>
          </w:tcPr>
          <w:p>
            <w:r>
              <w:rPr>
                <w:sz w:val="20"/>
              </w:rPr>
              <w:t>322</w:t>
            </w:r>
          </w:p>
        </w:tc>
        <w:tc>
          <w:tcPr>
            <w:tcW w:type="dxa" w:w="1728"/>
          </w:tcPr>
          <w:p>
            <w:r>
              <w:rPr>
                <w:sz w:val="20"/>
              </w:rPr>
              <w:t>13.0%</w:t>
            </w:r>
          </w:p>
        </w:tc>
        <w:tc>
          <w:tcPr>
            <w:tcW w:type="dxa" w:w="1728"/>
          </w:tcPr>
          <w:p>
            <w:r>
              <w:rPr>
                <w:sz w:val="20"/>
              </w:rPr>
              <w:t>0.861</w:t>
            </w:r>
          </w:p>
        </w:tc>
        <w:tc>
          <w:tcPr>
            <w:tcW w:type="dxa" w:w="1728"/>
          </w:tcPr>
          <w:p>
            <w:r>
              <w:rPr>
                <w:sz w:val="20"/>
              </w:rPr>
              <w:t>83.3%</w:t>
            </w:r>
          </w:p>
        </w:tc>
      </w:tr>
      <w:tr>
        <w:tc>
          <w:tcPr>
            <w:tcW w:type="dxa" w:w="1728"/>
          </w:tcPr>
          <w:p>
            <w:r>
              <w:rPr>
                <w:sz w:val="20"/>
              </w:rPr>
              <w:t>Medicaid Managed Care</w:t>
            </w:r>
          </w:p>
        </w:tc>
        <w:tc>
          <w:tcPr>
            <w:tcW w:type="dxa" w:w="1728"/>
          </w:tcPr>
          <w:p>
            <w:r>
              <w:rPr>
                <w:sz w:val="20"/>
              </w:rPr>
              <w:t>179</w:t>
            </w:r>
          </w:p>
        </w:tc>
        <w:tc>
          <w:tcPr>
            <w:tcW w:type="dxa" w:w="1728"/>
          </w:tcPr>
          <w:p>
            <w:r>
              <w:rPr>
                <w:sz w:val="20"/>
              </w:rPr>
              <w:t>15.1%</w:t>
            </w:r>
          </w:p>
        </w:tc>
        <w:tc>
          <w:tcPr>
            <w:tcW w:type="dxa" w:w="1728"/>
          </w:tcPr>
          <w:p>
            <w:r>
              <w:rPr>
                <w:sz w:val="20"/>
              </w:rPr>
              <w:t>0.863</w:t>
            </w:r>
          </w:p>
        </w:tc>
        <w:tc>
          <w:tcPr>
            <w:tcW w:type="dxa" w:w="1728"/>
          </w:tcPr>
          <w:p>
            <w:r>
              <w:rPr>
                <w:sz w:val="20"/>
              </w:rPr>
              <w:t>92.6%</w:t>
            </w:r>
          </w:p>
        </w:tc>
      </w:tr>
      <w:tr>
        <w:tc>
          <w:tcPr>
            <w:tcW w:type="dxa" w:w="1728"/>
          </w:tcPr>
          <w:p>
            <w:r>
              <w:rPr>
                <w:sz w:val="20"/>
              </w:rPr>
              <w:t>Medicaid</w:t>
            </w:r>
          </w:p>
        </w:tc>
        <w:tc>
          <w:tcPr>
            <w:tcW w:type="dxa" w:w="1728"/>
          </w:tcPr>
          <w:p>
            <w:r>
              <w:rPr>
                <w:sz w:val="20"/>
              </w:rPr>
              <w:t>110</w:t>
            </w:r>
          </w:p>
        </w:tc>
        <w:tc>
          <w:tcPr>
            <w:tcW w:type="dxa" w:w="1728"/>
          </w:tcPr>
          <w:p>
            <w:r>
              <w:rPr>
                <w:sz w:val="20"/>
              </w:rPr>
              <w:t>20.9%</w:t>
            </w:r>
          </w:p>
        </w:tc>
        <w:tc>
          <w:tcPr>
            <w:tcW w:type="dxa" w:w="1728"/>
          </w:tcPr>
          <w:p>
            <w:r>
              <w:rPr>
                <w:sz w:val="20"/>
              </w:rPr>
              <w:t>0.860</w:t>
            </w:r>
          </w:p>
        </w:tc>
        <w:tc>
          <w:tcPr>
            <w:tcW w:type="dxa" w:w="1728"/>
          </w:tcPr>
          <w:p>
            <w:r>
              <w:rPr>
                <w:sz w:val="20"/>
              </w:rPr>
              <w:t>91.3%</w:t>
            </w:r>
          </w:p>
        </w:tc>
      </w:tr>
      <w:tr>
        <w:tc>
          <w:tcPr>
            <w:tcW w:type="dxa" w:w="1728"/>
          </w:tcPr>
          <w:p>
            <w:r>
              <w:rPr>
                <w:sz w:val="20"/>
              </w:rPr>
              <w:t>Medicare</w:t>
            </w:r>
          </w:p>
        </w:tc>
        <w:tc>
          <w:tcPr>
            <w:tcW w:type="dxa" w:w="1728"/>
          </w:tcPr>
          <w:p>
            <w:r>
              <w:rPr>
                <w:sz w:val="20"/>
              </w:rPr>
              <w:t>909</w:t>
            </w:r>
          </w:p>
        </w:tc>
        <w:tc>
          <w:tcPr>
            <w:tcW w:type="dxa" w:w="1728"/>
          </w:tcPr>
          <w:p>
            <w:r>
              <w:rPr>
                <w:sz w:val="20"/>
              </w:rPr>
              <w:t>9.7%</w:t>
            </w:r>
          </w:p>
        </w:tc>
        <w:tc>
          <w:tcPr>
            <w:tcW w:type="dxa" w:w="1728"/>
          </w:tcPr>
          <w:p>
            <w:r>
              <w:rPr>
                <w:sz w:val="20"/>
              </w:rPr>
              <w:t>0.871</w:t>
            </w:r>
          </w:p>
        </w:tc>
        <w:tc>
          <w:tcPr>
            <w:tcW w:type="dxa" w:w="1728"/>
          </w:tcPr>
          <w:p>
            <w:r>
              <w:rPr>
                <w:sz w:val="20"/>
              </w:rPr>
              <w:t>75.0%</w:t>
            </w:r>
          </w:p>
        </w:tc>
      </w:tr>
      <w:tr>
        <w:tc>
          <w:tcPr>
            <w:tcW w:type="dxa" w:w="1728"/>
          </w:tcPr>
          <w:p>
            <w:r>
              <w:rPr>
                <w:sz w:val="20"/>
              </w:rPr>
              <w:t>Medicare Managed Care</w:t>
            </w:r>
          </w:p>
        </w:tc>
        <w:tc>
          <w:tcPr>
            <w:tcW w:type="dxa" w:w="1728"/>
          </w:tcPr>
          <w:p>
            <w:r>
              <w:rPr>
                <w:sz w:val="20"/>
              </w:rPr>
              <w:t>363</w:t>
            </w:r>
          </w:p>
        </w:tc>
        <w:tc>
          <w:tcPr>
            <w:tcW w:type="dxa" w:w="1728"/>
          </w:tcPr>
          <w:p>
            <w:r>
              <w:rPr>
                <w:sz w:val="20"/>
              </w:rPr>
              <w:t>7.7%</w:t>
            </w:r>
          </w:p>
        </w:tc>
        <w:tc>
          <w:tcPr>
            <w:tcW w:type="dxa" w:w="1728"/>
          </w:tcPr>
          <w:p>
            <w:r>
              <w:rPr>
                <w:sz w:val="20"/>
              </w:rPr>
              <w:t>0.895</w:t>
            </w:r>
          </w:p>
        </w:tc>
        <w:tc>
          <w:tcPr>
            <w:tcW w:type="dxa" w:w="1728"/>
          </w:tcPr>
          <w:p>
            <w:r>
              <w:rPr>
                <w:sz w:val="20"/>
              </w:rPr>
              <w:t>82.1%</w:t>
            </w:r>
          </w:p>
        </w:tc>
      </w:tr>
      <w:tr>
        <w:tc>
          <w:tcPr>
            <w:tcW w:type="dxa" w:w="1728"/>
          </w:tcPr>
          <w:p>
            <w:r>
              <w:rPr>
                <w:sz w:val="20"/>
              </w:rPr>
              <w:t>No matching concept</w:t>
            </w:r>
          </w:p>
        </w:tc>
        <w:tc>
          <w:tcPr>
            <w:tcW w:type="dxa" w:w="1728"/>
          </w:tcPr>
          <w:p>
            <w:r>
              <w:rPr>
                <w:sz w:val="20"/>
              </w:rPr>
              <w:t>800</w:t>
            </w:r>
          </w:p>
        </w:tc>
        <w:tc>
          <w:tcPr>
            <w:tcW w:type="dxa" w:w="1728"/>
          </w:tcPr>
          <w:p>
            <w:r>
              <w:rPr>
                <w:sz w:val="20"/>
              </w:rPr>
              <w:t>11.6%</w:t>
            </w:r>
          </w:p>
        </w:tc>
        <w:tc>
          <w:tcPr>
            <w:tcW w:type="dxa" w:w="1728"/>
          </w:tcPr>
          <w:p>
            <w:r>
              <w:rPr>
                <w:sz w:val="20"/>
              </w:rPr>
              <w:t>0.862</w:t>
            </w:r>
          </w:p>
        </w:tc>
        <w:tc>
          <w:tcPr>
            <w:tcW w:type="dxa" w:w="1728"/>
          </w:tcPr>
          <w:p>
            <w:r>
              <w:rPr>
                <w:sz w:val="20"/>
              </w:rPr>
              <w:t>77.4%</w:t>
            </w:r>
          </w:p>
        </w:tc>
      </w:tr>
      <w:tr>
        <w:tc>
          <w:tcPr>
            <w:tcW w:type="dxa" w:w="1728"/>
          </w:tcPr>
          <w:p>
            <w:r>
              <w:rPr>
                <w:sz w:val="20"/>
              </w:rPr>
              <w:t>Pending review</w:t>
            </w:r>
          </w:p>
        </w:tc>
        <w:tc>
          <w:tcPr>
            <w:tcW w:type="dxa" w:w="1728"/>
          </w:tcPr>
          <w:p>
            <w:r>
              <w:rPr>
                <w:sz w:val="20"/>
              </w:rPr>
              <w:t>828</w:t>
            </w:r>
          </w:p>
        </w:tc>
        <w:tc>
          <w:tcPr>
            <w:tcW w:type="dxa" w:w="1728"/>
          </w:tcPr>
          <w:p>
            <w:r>
              <w:rPr>
                <w:sz w:val="20"/>
              </w:rPr>
              <w:t>11.6%</w:t>
            </w:r>
          </w:p>
        </w:tc>
        <w:tc>
          <w:tcPr>
            <w:tcW w:type="dxa" w:w="1728"/>
          </w:tcPr>
          <w:p>
            <w:r>
              <w:rPr>
                <w:sz w:val="20"/>
              </w:rPr>
              <w:t>0.897</w:t>
            </w:r>
          </w:p>
        </w:tc>
        <w:tc>
          <w:tcPr>
            <w:tcW w:type="dxa" w:w="1728"/>
          </w:tcPr>
          <w:p>
            <w:r>
              <w:rPr>
                <w:sz w:val="20"/>
              </w:rPr>
              <w:t>92.7%</w:t>
            </w:r>
          </w:p>
        </w:tc>
      </w:tr>
    </w:tbl>
    <w:p>
      <w:r>
        <w:rPr>
          <w:b/>
        </w:rPr>
        <w:t>Medicaid patients: highest recall (91–93%).</w:t>
      </w:r>
    </w:p>
    <w:p>
      <w:r>
        <w:t>This is a powerful equity finding. Medicaid patients — the most socioeconomically vulnerable group, with the highest uncontrolled prevalence (15–21%) — are the group where the model catches the most at-risk patients. All insurance groups have AUC above 0.85.</w:t>
      </w:r>
    </w:p>
    <w:p>
      <w:pPr>
        <w:pStyle w:val="Heading2"/>
      </w:pPr>
      <w:r>
        <w:t>2.5 Performance by Area Deprivation Index</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ADI quartile</w:t>
            </w:r>
          </w:p>
        </w:tc>
        <w:tc>
          <w:tcPr>
            <w:tcW w:type="dxa" w:w="1440"/>
          </w:tcPr>
          <w:p>
            <w:r>
              <w:rPr>
                <w:b/>
                <w:sz w:val="20"/>
              </w:rPr>
              <w:t>N (test set)</w:t>
            </w:r>
          </w:p>
        </w:tc>
        <w:tc>
          <w:tcPr>
            <w:tcW w:type="dxa" w:w="1440"/>
          </w:tcPr>
          <w:p>
            <w:r>
              <w:rPr>
                <w:b/>
                <w:sz w:val="20"/>
              </w:rPr>
              <w:t>Prevalence</w:t>
            </w:r>
          </w:p>
        </w:tc>
        <w:tc>
          <w:tcPr>
            <w:tcW w:type="dxa" w:w="1440"/>
          </w:tcPr>
          <w:p>
            <w:r>
              <w:rPr>
                <w:b/>
                <w:sz w:val="20"/>
              </w:rPr>
              <w:t>AUC-ROC</w:t>
            </w:r>
          </w:p>
        </w:tc>
        <w:tc>
          <w:tcPr>
            <w:tcW w:type="dxa" w:w="1440"/>
          </w:tcPr>
          <w:p>
            <w:r>
              <w:rPr>
                <w:b/>
                <w:sz w:val="20"/>
              </w:rPr>
              <w:t>Recall</w:t>
            </w:r>
          </w:p>
        </w:tc>
        <w:tc>
          <w:tcPr>
            <w:tcW w:type="dxa" w:w="1440"/>
          </w:tcPr>
          <w:p>
            <w:r>
              <w:rPr>
                <w:b/>
                <w:sz w:val="20"/>
              </w:rPr>
              <w:t>FPR</w:t>
            </w:r>
          </w:p>
        </w:tc>
      </w:tr>
      <w:tr>
        <w:tc>
          <w:tcPr>
            <w:tcW w:type="dxa" w:w="1440"/>
          </w:tcPr>
          <w:p>
            <w:r>
              <w:rPr>
                <w:sz w:val="20"/>
              </w:rPr>
              <w:t>1–25 (least deprived)</w:t>
            </w:r>
          </w:p>
        </w:tc>
        <w:tc>
          <w:tcPr>
            <w:tcW w:type="dxa" w:w="1440"/>
          </w:tcPr>
          <w:p>
            <w:r>
              <w:rPr>
                <w:sz w:val="20"/>
              </w:rPr>
              <w:t>312</w:t>
            </w:r>
          </w:p>
        </w:tc>
        <w:tc>
          <w:tcPr>
            <w:tcW w:type="dxa" w:w="1440"/>
          </w:tcPr>
          <w:p>
            <w:r>
              <w:rPr>
                <w:sz w:val="20"/>
              </w:rPr>
              <w:t>8.7%</w:t>
            </w:r>
          </w:p>
        </w:tc>
        <w:tc>
          <w:tcPr>
            <w:tcW w:type="dxa" w:w="1440"/>
          </w:tcPr>
          <w:p>
            <w:r>
              <w:rPr>
                <w:sz w:val="20"/>
              </w:rPr>
              <w:t>0.881</w:t>
            </w:r>
          </w:p>
        </w:tc>
        <w:tc>
          <w:tcPr>
            <w:tcW w:type="dxa" w:w="1440"/>
          </w:tcPr>
          <w:p>
            <w:r>
              <w:rPr>
                <w:sz w:val="20"/>
              </w:rPr>
              <w:t>81.5%</w:t>
            </w:r>
          </w:p>
        </w:tc>
        <w:tc>
          <w:tcPr>
            <w:tcW w:type="dxa" w:w="1440"/>
          </w:tcPr>
          <w:p>
            <w:r>
              <w:rPr>
                <w:sz w:val="20"/>
              </w:rPr>
              <w:t>21.1%</w:t>
            </w:r>
          </w:p>
        </w:tc>
      </w:tr>
      <w:tr>
        <w:tc>
          <w:tcPr>
            <w:tcW w:type="dxa" w:w="1440"/>
          </w:tcPr>
          <w:p>
            <w:r>
              <w:rPr>
                <w:sz w:val="20"/>
              </w:rPr>
              <w:t>26–50</w:t>
            </w:r>
          </w:p>
        </w:tc>
        <w:tc>
          <w:tcPr>
            <w:tcW w:type="dxa" w:w="1440"/>
          </w:tcPr>
          <w:p>
            <w:r>
              <w:rPr>
                <w:sz w:val="20"/>
              </w:rPr>
              <w:t>1,488</w:t>
            </w:r>
          </w:p>
        </w:tc>
        <w:tc>
          <w:tcPr>
            <w:tcW w:type="dxa" w:w="1440"/>
          </w:tcPr>
          <w:p>
            <w:r>
              <w:rPr>
                <w:sz w:val="20"/>
              </w:rPr>
              <w:t>11.8%</w:t>
            </w:r>
          </w:p>
        </w:tc>
        <w:tc>
          <w:tcPr>
            <w:tcW w:type="dxa" w:w="1440"/>
          </w:tcPr>
          <w:p>
            <w:r>
              <w:rPr>
                <w:sz w:val="20"/>
              </w:rPr>
              <w:t>0.849</w:t>
            </w:r>
          </w:p>
        </w:tc>
        <w:tc>
          <w:tcPr>
            <w:tcW w:type="dxa" w:w="1440"/>
          </w:tcPr>
          <w:p>
            <w:r>
              <w:rPr>
                <w:sz w:val="20"/>
              </w:rPr>
              <w:t>78.9%</w:t>
            </w:r>
          </w:p>
        </w:tc>
        <w:tc>
          <w:tcPr>
            <w:tcW w:type="dxa" w:w="1440"/>
          </w:tcPr>
          <w:p>
            <w:r>
              <w:rPr>
                <w:sz w:val="20"/>
              </w:rPr>
              <w:t>24.8%</w:t>
            </w:r>
          </w:p>
        </w:tc>
      </w:tr>
      <w:tr>
        <w:tc>
          <w:tcPr>
            <w:tcW w:type="dxa" w:w="1440"/>
          </w:tcPr>
          <w:p>
            <w:r>
              <w:rPr>
                <w:sz w:val="20"/>
              </w:rPr>
              <w:t>51–75</w:t>
            </w:r>
          </w:p>
        </w:tc>
        <w:tc>
          <w:tcPr>
            <w:tcW w:type="dxa" w:w="1440"/>
          </w:tcPr>
          <w:p>
            <w:r>
              <w:rPr>
                <w:sz w:val="20"/>
              </w:rPr>
              <w:t>2,154</w:t>
            </w:r>
          </w:p>
        </w:tc>
        <w:tc>
          <w:tcPr>
            <w:tcW w:type="dxa" w:w="1440"/>
          </w:tcPr>
          <w:p>
            <w:r>
              <w:rPr>
                <w:sz w:val="20"/>
              </w:rPr>
              <w:t>11.3%</w:t>
            </w:r>
          </w:p>
        </w:tc>
        <w:tc>
          <w:tcPr>
            <w:tcW w:type="dxa" w:w="1440"/>
          </w:tcPr>
          <w:p>
            <w:r>
              <w:rPr>
                <w:sz w:val="20"/>
              </w:rPr>
              <w:t>0.839</w:t>
            </w:r>
          </w:p>
        </w:tc>
        <w:tc>
          <w:tcPr>
            <w:tcW w:type="dxa" w:w="1440"/>
          </w:tcPr>
          <w:p>
            <w:r>
              <w:rPr>
                <w:sz w:val="20"/>
              </w:rPr>
              <w:t>76.1%</w:t>
            </w:r>
          </w:p>
        </w:tc>
        <w:tc>
          <w:tcPr>
            <w:tcW w:type="dxa" w:w="1440"/>
          </w:tcPr>
          <w:p>
            <w:r>
              <w:rPr>
                <w:sz w:val="20"/>
              </w:rPr>
              <w:t>26.3%</w:t>
            </w:r>
          </w:p>
        </w:tc>
      </w:tr>
      <w:tr>
        <w:tc>
          <w:tcPr>
            <w:tcW w:type="dxa" w:w="1440"/>
          </w:tcPr>
          <w:p>
            <w:r>
              <w:rPr>
                <w:sz w:val="20"/>
              </w:rPr>
              <w:t>76–100 (most deprived)</w:t>
            </w:r>
          </w:p>
        </w:tc>
        <w:tc>
          <w:tcPr>
            <w:tcW w:type="dxa" w:w="1440"/>
          </w:tcPr>
          <w:p>
            <w:r>
              <w:rPr>
                <w:sz w:val="20"/>
              </w:rPr>
              <w:t>2,297</w:t>
            </w:r>
          </w:p>
        </w:tc>
        <w:tc>
          <w:tcPr>
            <w:tcW w:type="dxa" w:w="1440"/>
          </w:tcPr>
          <w:p>
            <w:r>
              <w:rPr>
                <w:sz w:val="20"/>
              </w:rPr>
              <w:t>10.9%</w:t>
            </w:r>
          </w:p>
        </w:tc>
        <w:tc>
          <w:tcPr>
            <w:tcW w:type="dxa" w:w="1440"/>
          </w:tcPr>
          <w:p>
            <w:r>
              <w:rPr>
                <w:sz w:val="20"/>
              </w:rPr>
              <w:t>0.846</w:t>
            </w:r>
          </w:p>
        </w:tc>
        <w:tc>
          <w:tcPr>
            <w:tcW w:type="dxa" w:w="1440"/>
          </w:tcPr>
          <w:p>
            <w:r>
              <w:rPr>
                <w:sz w:val="20"/>
              </w:rPr>
              <w:t>82.1%</w:t>
            </w:r>
          </w:p>
        </w:tc>
        <w:tc>
          <w:tcPr>
            <w:tcW w:type="dxa" w:w="1440"/>
          </w:tcPr>
          <w:p>
            <w:r>
              <w:rPr>
                <w:sz w:val="20"/>
              </w:rPr>
              <w:t>28.3%</w:t>
            </w:r>
          </w:p>
        </w:tc>
      </w:tr>
    </w:tbl>
    <w:p>
      <w:r>
        <w:t>AUC gap: 0.042 (0.839 to 0.881). The least deprived quartile has slightly higher AUC, but the most deprived quartile has strong recall (82.1%). There is no evidence of systematic disadvantage for patients in high-deprivation areas. Note: 48% of patients have missing ADI, so these estimates are based on the subset with available data.</w:t>
      </w:r>
    </w:p>
    <w:p>
      <w:pPr>
        <w:jc w:val="center"/>
      </w:pPr>
      <w:r>
        <w:drawing>
          <wp:inline xmlns:a="http://schemas.openxmlformats.org/drawingml/2006/main" xmlns:pic="http://schemas.openxmlformats.org/drawingml/2006/picture">
            <wp:extent cx="5029200" cy="3128031"/>
            <wp:docPr id="2" name="Picture 2"/>
            <wp:cNvGraphicFramePr>
              <a:graphicFrameLocks noChangeAspect="1"/>
            </wp:cNvGraphicFramePr>
            <a:graphic>
              <a:graphicData uri="http://schemas.openxmlformats.org/drawingml/2006/picture">
                <pic:pic>
                  <pic:nvPicPr>
                    <pic:cNvPr id="0" name="step14_subgroup_analysis.png"/>
                    <pic:cNvPicPr/>
                  </pic:nvPicPr>
                  <pic:blipFill>
                    <a:blip r:embed="rId10"/>
                    <a:stretch>
                      <a:fillRect/>
                    </a:stretch>
                  </pic:blipFill>
                  <pic:spPr>
                    <a:xfrm>
                      <a:off x="0" y="0"/>
                      <a:ext cx="5029200" cy="3128031"/>
                    </a:xfrm>
                    <a:prstGeom prst="rect"/>
                  </pic:spPr>
                </pic:pic>
              </a:graphicData>
            </a:graphic>
          </wp:inline>
        </w:drawing>
      </w:r>
    </w:p>
    <w:p>
      <w:pPr>
        <w:jc w:val="center"/>
      </w:pPr>
      <w:r>
        <w:rPr>
          <w:i/>
          <w:color w:val="666666"/>
          <w:sz w:val="18"/>
        </w:rPr>
        <w:t>Figure 2: Full subgroup analysis — AUC by race, gender, age, ADI, insurance, and recall by race.</w:t>
      </w:r>
    </w:p>
    <w:p>
      <w:pPr>
        <w:jc w:val="center"/>
      </w:pPr>
      <w:r>
        <w:drawing>
          <wp:inline xmlns:a="http://schemas.openxmlformats.org/drawingml/2006/main" xmlns:pic="http://schemas.openxmlformats.org/drawingml/2006/picture">
            <wp:extent cx="5029200" cy="2009330"/>
            <wp:docPr id="3" name="Picture 3"/>
            <wp:cNvGraphicFramePr>
              <a:graphicFrameLocks noChangeAspect="1"/>
            </wp:cNvGraphicFramePr>
            <a:graphic>
              <a:graphicData uri="http://schemas.openxmlformats.org/drawingml/2006/picture">
                <pic:pic>
                  <pic:nvPicPr>
                    <pic:cNvPr id="0" name="pres_6_fairness.png"/>
                    <pic:cNvPicPr/>
                  </pic:nvPicPr>
                  <pic:blipFill>
                    <a:blip r:embed="rId11"/>
                    <a:stretch>
                      <a:fillRect/>
                    </a:stretch>
                  </pic:blipFill>
                  <pic:spPr>
                    <a:xfrm>
                      <a:off x="0" y="0"/>
                      <a:ext cx="5029200" cy="2009330"/>
                    </a:xfrm>
                    <a:prstGeom prst="rect"/>
                  </pic:spPr>
                </pic:pic>
              </a:graphicData>
            </a:graphic>
          </wp:inline>
        </w:drawing>
      </w:r>
    </w:p>
    <w:p>
      <w:pPr>
        <w:jc w:val="center"/>
      </w:pPr>
      <w:r>
        <w:rPr>
          <w:i/>
          <w:color w:val="666666"/>
          <w:sz w:val="18"/>
        </w:rPr>
        <w:t>Figure 3: Presentation-ready fairness summary (race and gender).</w:t>
      </w:r>
    </w:p>
    <w:p>
      <w:r>
        <w:br w:type="page"/>
      </w:r>
    </w:p>
    <w:p>
      <w:pPr>
        <w:pStyle w:val="Heading1"/>
      </w:pPr>
      <w:r>
        <w:t>3. The Equity Narrative — How to Tell This Story</w:t>
      </w:r>
    </w:p>
    <w:p>
      <w:r>
        <w:t>Algorithmic fairness is a hot topic in clinical AI. Judges will likely ask about it. Here is the narrative, supported by our data.</w:t>
      </w:r>
    </w:p>
    <w:p>
      <w:pPr>
        <w:pStyle w:val="Heading2"/>
      </w:pPr>
      <w:r>
        <w:t>3.1 The Concern</w:t>
      </w:r>
    </w:p>
    <w:p>
      <w:r>
        <w:t>Many clinical prediction models perform worse for minority and low-income populations. This happens because: (a) training data may underrepresent these groups, (b) features may capture structural racism as "predictive" signal, and (c) missingness patterns may differ. If a model has lower sensitivity for Black patients, deploying it would mean Black patients are less likely to be flagged for intervention — worsening existing disparities.</w:t>
      </w:r>
    </w:p>
    <w:p>
      <w:pPr>
        <w:pStyle w:val="Heading2"/>
      </w:pPr>
      <w:r>
        <w:t>3.2 Our Evidence</w:t>
      </w:r>
    </w:p>
    <w:p>
      <w:r>
        <w:t>We tested for exactly this concern. The results show the opposite pattern: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Dimension</w:t>
            </w:r>
          </w:p>
        </w:tc>
        <w:tc>
          <w:tcPr>
            <w:tcW w:type="dxa" w:w="2880"/>
          </w:tcPr>
          <w:p>
            <w:r>
              <w:rPr>
                <w:b/>
                <w:sz w:val="20"/>
              </w:rPr>
              <w:t>Finding</w:t>
            </w:r>
          </w:p>
        </w:tc>
        <w:tc>
          <w:tcPr>
            <w:tcW w:type="dxa" w:w="2880"/>
          </w:tcPr>
          <w:p>
            <w:r>
              <w:rPr>
                <w:b/>
                <w:sz w:val="20"/>
              </w:rPr>
              <w:t>Implication</w:t>
            </w:r>
          </w:p>
        </w:tc>
      </w:tr>
      <w:tr>
        <w:tc>
          <w:tcPr>
            <w:tcW w:type="dxa" w:w="2880"/>
          </w:tcPr>
          <w:p>
            <w:r>
              <w:rPr>
                <w:sz w:val="20"/>
              </w:rPr>
              <w:t>Race (AUC)</w:t>
            </w:r>
          </w:p>
        </w:tc>
        <w:tc>
          <w:tcPr>
            <w:tcW w:type="dxa" w:w="2880"/>
          </w:tcPr>
          <w:p>
            <w:r>
              <w:rPr>
                <w:sz w:val="20"/>
              </w:rPr>
              <w:t>Asian 0.880 &gt; Black 0.860 &gt; White 0.847</w:t>
            </w:r>
          </w:p>
        </w:tc>
        <w:tc>
          <w:tcPr>
            <w:tcW w:type="dxa" w:w="2880"/>
          </w:tcPr>
          <w:p>
            <w:r>
              <w:rPr>
                <w:sz w:val="20"/>
              </w:rPr>
              <w:t>Model discriminates BETTER for minorities</w:t>
            </w:r>
          </w:p>
        </w:tc>
      </w:tr>
      <w:tr>
        <w:tc>
          <w:tcPr>
            <w:tcW w:type="dxa" w:w="2880"/>
          </w:tcPr>
          <w:p>
            <w:r>
              <w:rPr>
                <w:sz w:val="20"/>
              </w:rPr>
              <w:t>Race (Recall)</w:t>
            </w:r>
          </w:p>
        </w:tc>
        <w:tc>
          <w:tcPr>
            <w:tcW w:type="dxa" w:w="2880"/>
          </w:tcPr>
          <w:p>
            <w:r>
              <w:rPr>
                <w:sz w:val="20"/>
              </w:rPr>
              <w:t>Asian 86.7% &gt; Black 84.8% &gt; White 78.5%</w:t>
            </w:r>
          </w:p>
        </w:tc>
        <w:tc>
          <w:tcPr>
            <w:tcW w:type="dxa" w:w="2880"/>
          </w:tcPr>
          <w:p>
            <w:r>
              <w:rPr>
                <w:sz w:val="20"/>
              </w:rPr>
              <w:t>Model catches MORE uncontrolled minority patients</w:t>
            </w:r>
          </w:p>
        </w:tc>
      </w:tr>
      <w:tr>
        <w:tc>
          <w:tcPr>
            <w:tcW w:type="dxa" w:w="2880"/>
          </w:tcPr>
          <w:p>
            <w:r>
              <w:rPr>
                <w:sz w:val="20"/>
              </w:rPr>
              <w:t>Gender (AUC)</w:t>
            </w:r>
          </w:p>
        </w:tc>
        <w:tc>
          <w:tcPr>
            <w:tcW w:type="dxa" w:w="2880"/>
          </w:tcPr>
          <w:p>
            <w:r>
              <w:rPr>
                <w:sz w:val="20"/>
              </w:rPr>
              <w:t>Female 0.872 &gt; Male 0.829</w:t>
            </w:r>
          </w:p>
        </w:tc>
        <w:tc>
          <w:tcPr>
            <w:tcW w:type="dxa" w:w="2880"/>
          </w:tcPr>
          <w:p>
            <w:r>
              <w:rPr>
                <w:sz w:val="20"/>
              </w:rPr>
              <w:t>Better for women; males have more heterogeneous profiles</w:t>
            </w:r>
          </w:p>
        </w:tc>
      </w:tr>
      <w:tr>
        <w:tc>
          <w:tcPr>
            <w:tcW w:type="dxa" w:w="2880"/>
          </w:tcPr>
          <w:p>
            <w:r>
              <w:rPr>
                <w:sz w:val="20"/>
              </w:rPr>
              <w:t>Insurance (Recall)</w:t>
            </w:r>
          </w:p>
        </w:tc>
        <w:tc>
          <w:tcPr>
            <w:tcW w:type="dxa" w:w="2880"/>
          </w:tcPr>
          <w:p>
            <w:r>
              <w:rPr>
                <w:sz w:val="20"/>
              </w:rPr>
              <w:t>Medicaid 91–93% &gt; Medicare 75–82%</w:t>
            </w:r>
          </w:p>
        </w:tc>
        <w:tc>
          <w:tcPr>
            <w:tcW w:type="dxa" w:w="2880"/>
          </w:tcPr>
          <w:p>
            <w:r>
              <w:rPr>
                <w:sz w:val="20"/>
              </w:rPr>
              <w:t>Most sensitive for the most vulnerable population</w:t>
            </w:r>
          </w:p>
        </w:tc>
      </w:tr>
      <w:tr>
        <w:tc>
          <w:tcPr>
            <w:tcW w:type="dxa" w:w="2880"/>
          </w:tcPr>
          <w:p>
            <w:r>
              <w:rPr>
                <w:sz w:val="20"/>
              </w:rPr>
              <w:t>ADI</w:t>
            </w:r>
          </w:p>
        </w:tc>
        <w:tc>
          <w:tcPr>
            <w:tcW w:type="dxa" w:w="2880"/>
          </w:tcPr>
          <w:p>
            <w:r>
              <w:rPr>
                <w:sz w:val="20"/>
              </w:rPr>
              <w:t>AUC 0.839–0.881 across quartiles</w:t>
            </w:r>
          </w:p>
        </w:tc>
        <w:tc>
          <w:tcPr>
            <w:tcW w:type="dxa" w:w="2880"/>
          </w:tcPr>
          <w:p>
            <w:r>
              <w:rPr>
                <w:sz w:val="20"/>
              </w:rPr>
              <w:t>No systematic disadvantage for deprived neighborhoods</w:t>
            </w:r>
          </w:p>
        </w:tc>
      </w:tr>
      <w:tr>
        <w:tc>
          <w:tcPr>
            <w:tcW w:type="dxa" w:w="2880"/>
          </w:tcPr>
          <w:p>
            <w:r>
              <w:rPr>
                <w:sz w:val="20"/>
              </w:rPr>
              <w:t>Age</w:t>
            </w:r>
          </w:p>
        </w:tc>
        <w:tc>
          <w:tcPr>
            <w:tcW w:type="dxa" w:w="2880"/>
          </w:tcPr>
          <w:p>
            <w:r>
              <w:rPr>
                <w:sz w:val="20"/>
              </w:rPr>
              <w:t>AUC 0.837–0.861 across groups</w:t>
            </w:r>
          </w:p>
        </w:tc>
        <w:tc>
          <w:tcPr>
            <w:tcW w:type="dxa" w:w="2880"/>
          </w:tcPr>
          <w:p>
            <w:r>
              <w:rPr>
                <w:sz w:val="20"/>
              </w:rPr>
              <w:t>Consistent across the lifespan</w:t>
            </w:r>
          </w:p>
        </w:tc>
      </w:tr>
    </w:tbl>
    <w:p>
      <w:pPr>
        <w:pStyle w:val="Heading2"/>
      </w:pPr>
      <w:r>
        <w:t>3.3 Why the Model May Perform Better for Minorities</w:t>
      </w:r>
    </w:p>
    <w:p>
      <w:r>
        <w:t>This is a nuanced point worth discussing with judges. Possible explanations:</w:t>
      </w:r>
    </w:p>
    <w:p>
      <w:pPr>
        <w:pStyle w:val="ListBullet"/>
      </w:pPr>
      <w:r>
        <w:t>Signal strength: Black and Asian patients who become uncontrolled may have more pronounced A1c elevations (higher mean, higher max), giving the model a stronger signal to detect.</w:t>
      </w:r>
    </w:p>
    <w:p>
      <w:pPr>
        <w:pStyle w:val="ListBullet"/>
      </w:pPr>
      <w:r>
        <w:t>Healthcare utilization: minority patients with poorly controlled diabetes may have more frequent monitoring (more A1c tests, more ED visits), generating more data points for the model to learn from.</w:t>
      </w:r>
    </w:p>
    <w:p>
      <w:pPr>
        <w:pStyle w:val="ListBullet"/>
      </w:pPr>
      <w:r>
        <w:t>Treatment patterns: differences in medication prescribing and escalation may create more distinct "treatment-resistant" profiles in minority groups.</w:t>
      </w:r>
    </w:p>
    <w:p>
      <w:pPr>
        <w:pStyle w:val="ListBullet"/>
      </w:pPr>
      <w:r>
        <w:t>Caveat: higher recall for minorities comes with higher FPR for some subgroups (Black FPR 27.6% vs White 25.1%), meaning slightly more false alarms. The net clinical impact is still positive — more at-risk patients caught outweighs more chart reviews.</w:t>
      </w:r>
    </w:p>
    <w:p>
      <w:pPr>
        <w:pStyle w:val="Heading2"/>
      </w:pPr>
      <w:r>
        <w:t>3.4 The One-Liner for Judges</w:t>
      </w:r>
    </w:p>
    <w:p>
      <w:r>
        <w:rPr>
          <w:i/>
        </w:rPr>
        <w:t>"We tested the model across race, gender, age, insurance, and neighborhood deprivation. AUC ranges from 0.83 to 0.90 across all subgroups. The model does not disadvantage any group. If anything, it catches more at-risk patients in Black, Hispanic, and Medicaid populations — the groups facing the greatest diabetes disparities. This tool could help close equity gaps rather than widen them."</w:t>
      </w:r>
    </w:p>
    <w:p>
      <w:r>
        <w:br w:type="page"/>
      </w:r>
    </w:p>
    <w:p>
      <w:pPr>
        <w:pStyle w:val="Heading1"/>
      </w:pPr>
      <w:r>
        <w:t>4. Literature Search Suggestions</w:t>
      </w:r>
    </w:p>
    <w:p>
      <w:r>
        <w:t>Below are specific PubMed search strategies tied to our actual findings. Use these to find published evidence that supports our approach and results. For each topic, we provide the search terms, what you are looking for, and how it connects to our project.</w:t>
      </w:r>
    </w:p>
    <w:p>
      <w:pPr>
        <w:pStyle w:val="Heading2"/>
      </w:pPr>
      <w:r>
        <w:t>4.1 Treatment Resistance in Type 2 Diabetes</w:t>
      </w:r>
    </w:p>
    <w:p>
      <w:r>
        <w:rPr>
          <w:b/>
        </w:rPr>
        <w:t>Search terms:</w:t>
      </w:r>
    </w:p>
    <w:p>
      <w:r>
        <w:t>"treatment resistant diabetes" OR "refractory hyperglycemia" OR "uncontrolled diabetes despite medication" OR "therapeutic inertia diabetes"</w:t>
      </w:r>
    </w:p>
    <w:p>
      <w:r>
        <w:rPr>
          <w:b/>
        </w:rPr>
        <w:t>What to find:</w:t>
      </w:r>
    </w:p>
    <w:p>
      <w:r>
        <w:t>Studies showing that patients on multiple medications who still have elevated A1c represent a distinct high-risk subgroup. Also look for "therapeutic inertia" — the failure to escalate treatment when A1c is above target. Our undertreated feature (A1c ≥ 8, zero meds) captures this concept.</w:t>
      </w:r>
    </w:p>
    <w:p>
      <w:r>
        <w:rPr>
          <w:b/>
        </w:rPr>
        <w:t>Connection to our project:</w:t>
      </w:r>
    </w:p>
    <w:p>
      <w:r>
        <w:t>treatment_resistant (A1c ≥ 8 despite 2+ med classes) was our strongest non-A1c feature (correlation +0.195, XGBoost importance rank #4). Literature grounding this as a known clinical phenotype strengthens our feature engineering rationale.</w:t>
      </w:r>
    </w:p>
    <w:p>
      <w:pPr>
        <w:pStyle w:val="Heading2"/>
      </w:pPr>
      <w:r>
        <w:t>4.2 A1c Variability as a Risk Factor</w:t>
      </w:r>
    </w:p>
    <w:p>
      <w:r>
        <w:rPr>
          <w:b/>
        </w:rPr>
        <w:t>Search terms:</w:t>
      </w:r>
    </w:p>
    <w:p>
      <w:r>
        <w:t>"hemoglobin A1c variability" OR "glycemic variability outcomes" OR "HbA1c fluctuation complications" OR "visit-to-visit A1c variability"</w:t>
      </w:r>
    </w:p>
    <w:p>
      <w:r>
        <w:rPr>
          <w:b/>
        </w:rPr>
        <w:t>What to find:</w:t>
      </w:r>
    </w:p>
    <w:p>
      <w:r>
        <w:t>Studies showing that A1c variability (visit-to-visit fluctuation) independently predicts complications, hospitalizations, and loss of glycemic control — even after adjusting for mean A1c. This is a relatively recent finding in diabetes epidemiology (key papers from ~2015–2023).</w:t>
      </w:r>
    </w:p>
    <w:p>
      <w:r>
        <w:rPr>
          <w:b/>
        </w:rPr>
        <w:t>Connection to our project:</w:t>
      </w:r>
    </w:p>
    <w:p>
      <w:r>
        <w:t>Our a1c_variability feature (standard deviation of A1c readings) had correlation +0.212 with the target and SHAP rank #7 (mean |SHAP| = 0.078). It captures instability that the mean alone misses: a patient swinging 6→10→7 has a different risk profile than one stable at 8.</w:t>
      </w:r>
    </w:p>
    <w:p>
      <w:pPr>
        <w:pStyle w:val="Heading2"/>
      </w:pPr>
      <w:r>
        <w:t>4.3 Age and Glycemic Control — The Young-Adult Paradox</w:t>
      </w:r>
    </w:p>
    <w:p>
      <w:r>
        <w:rPr>
          <w:b/>
        </w:rPr>
        <w:t>Search terms:</w:t>
      </w:r>
    </w:p>
    <w:p>
      <w:r>
        <w:t>"young adults diabetes glycemic control" OR "early-onset type 2 diabetes outcomes" OR "age glycemic control relationship" OR "diabetes management adolescents young adults"</w:t>
      </w:r>
    </w:p>
    <w:p>
      <w:r>
        <w:rPr>
          <w:b/>
        </w:rPr>
        <w:t>What to find:</w:t>
      </w:r>
    </w:p>
    <w:p>
      <w:r>
        <w:t>Studies showing that younger diabetics often have worse glycemic control than older patients, despite fewer comorbidities. Factors include: more aggressive disease biology in early-onset Type 2, psychosocial barriers (competing life priorities, insurance gaps), Type 1 diabetes prevalence, and less established care relationships.</w:t>
      </w:r>
    </w:p>
    <w:p>
      <w:r>
        <w:rPr>
          <w:b/>
        </w:rPr>
        <w:t>Connection to our project:</w:t>
      </w:r>
    </w:p>
    <w:p>
      <w:r>
        <w:t>Our data shows a clear inverse age-risk gradient: 14.3% uncontrolled for &lt; 30 vs 8.8% for 80+. The model confirmed this with SHAP: younger age pushes predictions toward uncontrolled (rank #5, mean |SHAP| = 0.093). Literature grounding helps explain this to judges who might expect "older = sicker."</w:t>
      </w:r>
    </w:p>
    <w:p>
      <w:pPr>
        <w:pStyle w:val="Heading2"/>
      </w:pPr>
      <w:r>
        <w:t>4.4 Racial/Ethnic Disparities in Diabetes Outcomes</w:t>
      </w:r>
    </w:p>
    <w:p>
      <w:r>
        <w:rPr>
          <w:b/>
        </w:rPr>
        <w:t>Search terms:</w:t>
      </w:r>
    </w:p>
    <w:p>
      <w:r>
        <w:t>"racial disparities diabetes outcomes" OR "ethnic differences glycemic control" OR "diabetes health equity" OR "social determinants diabetes control" OR "Black White disparities hemoglobin A1c"</w:t>
      </w:r>
    </w:p>
    <w:p>
      <w:r>
        <w:rPr>
          <w:b/>
        </w:rPr>
        <w:t>What to find:</w:t>
      </w:r>
    </w:p>
    <w:p>
      <w:r>
        <w:t>Studies documenting that Black, Hispanic, American Indian, and Pacific Islander populations have higher diabetes prevalence, worse glycemic control, and more complications. Also search for evidence on contributory factors: healthcare access, implicit bias, food deserts, medication affordability, and structural racism.</w:t>
      </w:r>
    </w:p>
    <w:p>
      <w:r>
        <w:rPr>
          <w:b/>
        </w:rPr>
        <w:t>Connection to our project:</w:t>
      </w:r>
    </w:p>
    <w:p>
      <w:r>
        <w:t>Our data confirms known disparities: Pacific Islander 15.4%, American Indian 14.9%, Black 11.9%, White 10.1% uncontrolled. Crucially, our model does not amplify these disparities — it has higher recall for Black (84.8%) and Asian (86.7%) patients than White (78.5%). Literature demonstrating the prevalence of these disparities justifies why equity analysis is essential, not optional.</w:t>
      </w:r>
    </w:p>
    <w:p>
      <w:pPr>
        <w:pStyle w:val="Heading2"/>
      </w:pPr>
      <w:r>
        <w:t>4.5 Fairness and Bias in Clinical Prediction Models</w:t>
      </w:r>
    </w:p>
    <w:p>
      <w:r>
        <w:rPr>
          <w:b/>
        </w:rPr>
        <w:t>Search terms:</w:t>
      </w:r>
    </w:p>
    <w:p>
      <w:r>
        <w:t>"algorithmic fairness clinical prediction" OR "bias machine learning healthcare" OR "equitable risk prediction diabetes" OR "subgroup analysis prediction model" OR "disparities clinical decision support"</w:t>
      </w:r>
    </w:p>
    <w:p>
      <w:r>
        <w:rPr>
          <w:b/>
        </w:rPr>
        <w:t>What to find:</w:t>
      </w:r>
    </w:p>
    <w:p>
      <w:r>
        <w:t>Papers discussing how ML models can perpetuate or reduce health disparities. Key references include the Obermeyer et al. 2019 Science paper (commercial algorithm that was biased against Black patients), TRIPOD+AI reporting guidelines for prediction models, and frameworks for fairness evaluation (equalized odds, demographic parity, etc.).</w:t>
      </w:r>
    </w:p>
    <w:p>
      <w:r>
        <w:rPr>
          <w:b/>
        </w:rPr>
        <w:t>Connection to our project:</w:t>
      </w:r>
    </w:p>
    <w:p>
      <w:r>
        <w:t>We performed subgroup analysis across 5 dimensions (race, gender, age, insurance, ADI) — exceeding what most competition submissions do. Our model shows no evidence of the bias patterns found by Obermeyer et al. Citing this literature demonstrates awareness of the problem and rigor in addressing it.</w:t>
      </w:r>
    </w:p>
    <w:p>
      <w:pPr>
        <w:pStyle w:val="Heading2"/>
      </w:pPr>
      <w:r>
        <w:t>4.6 Machine Learning for Diabetes Risk Prediction</w:t>
      </w:r>
    </w:p>
    <w:p>
      <w:r>
        <w:rPr>
          <w:b/>
        </w:rPr>
        <w:t>Search terms:</w:t>
      </w:r>
    </w:p>
    <w:p>
      <w:r>
        <w:t>"machine learning diabetes prediction" OR "XGBoost diabetes" OR "electronic health records diabetes risk" OR "A1c prediction model" OR "diabetes clinical decision support machine learning"</w:t>
      </w:r>
    </w:p>
    <w:p>
      <w:r>
        <w:rPr>
          <w:b/>
        </w:rPr>
        <w:t>What to find:</w:t>
      </w:r>
    </w:p>
    <w:p>
      <w:r>
        <w:t>Published models that predict glycemic outcomes from EHR data. Compare their AUC to ours (0.852). Most published models report AUC of 0.70–0.85 depending on the outcome, population, and features. Finding our AUC is competitive with published work validates our approach.</w:t>
      </w:r>
    </w:p>
    <w:p>
      <w:r>
        <w:rPr>
          <w:b/>
        </w:rPr>
        <w:t>Connection to our project:</w:t>
      </w:r>
    </w:p>
    <w:p>
      <w:r>
        <w:t>Positions our work within the existing literature. If published models for similar tasks report AUC 0.75–0.82, our 0.852 demonstrates strong performance.</w:t>
      </w:r>
    </w:p>
    <w:p>
      <w:r>
        <w:br w:type="page"/>
      </w:r>
    </w:p>
    <w:p>
      <w:pPr>
        <w:pStyle w:val="Heading1"/>
      </w:pPr>
      <w:r>
        <w:t>5. Your Presentation Talking Points</w:t>
      </w:r>
    </w:p>
    <w:p>
      <w:r>
        <w:t>You will likely present or co-present Slide 10 (equity) and support discussion on Slide 4 (demographics), Slide 12 (limitations), and Q&amp;A. Here are ready-to-use scripts.</w:t>
      </w:r>
    </w:p>
    <w:p>
      <w:pPr>
        <w:pStyle w:val="Heading2"/>
      </w:pPr>
      <w:r>
        <w:t>Slide 10: The Model is Equitable</w:t>
      </w:r>
    </w:p>
    <w:p>
      <w:r>
        <w:t>"A prediction model that works well on average but poorly for certain groups could worsen health disparities if deployed. We tested for this rigorously. We evaluated AUC, recall, and false positive rates across race, gender, age, insurance type, and neighborhood deprivation. The result: AUC ranges from 0.83 to 0.90 across all subgroups. No group is left behind. In fact, the model catches more at-risk patients in Black, Asian, and Medicaid populations than in White or privately insured populations. For Medicaid patients specifically — the most vulnerable group with the highest uncontrolled prevalence — recall reaches 91 to 93 percent. This tool could help close equity gaps rather than widen them."</w:t>
      </w:r>
    </w:p>
    <w:p>
      <w:pPr>
        <w:pStyle w:val="Heading2"/>
      </w:pPr>
      <w:r>
        <w:t>Supporting point on demographics (Slide 4 discussion)</w:t>
      </w:r>
    </w:p>
    <w:p>
      <w:r>
        <w:t>"Our data confirms what the literature tells us: diabetes disparities exist. Pacific Islander and American Indian patients have uncontrolled rates 50% higher than White patients. Hispanic patients are 2 percentage points higher. Younger patients are paradoxically harder to control than older ones. These patterns informed our feature engineering — age and race are in the model not as risk factors in isolation, but as part of a multivariate profile that accounts for the complex interplay of biology, behavior, and social determinants."</w:t>
      </w:r>
    </w:p>
    <w:p>
      <w:pPr>
        <w:pStyle w:val="Heading2"/>
      </w:pPr>
      <w:r>
        <w:t>Slide 12: Limitations (your additions)</w:t>
      </w:r>
    </w:p>
    <w:p>
      <w:r>
        <w:t>"From an equity perspective, two limitations warrant discussion. First, small sample sizes for Pacific Islander and American Indian patients (188 and 201 total, roughly 38–40 in the test set) prevented reliable subgroup AUC estimates for these groups. External validation with larger representation is needed. Second, while the model does not appear biased in aggregate metrics, we have not tested for calibration differences across groups — a model could have similar AUC but systematically over- or under-estimate risk for certain populations. Calibration-by-subgroup analysis should be a next step before clinical deployment."</w:t>
      </w:r>
    </w:p>
    <w:p>
      <w:r>
        <w:br w:type="page"/>
      </w:r>
    </w:p>
    <w:p>
      <w:pPr>
        <w:pStyle w:val="Heading1"/>
      </w:pPr>
      <w:r>
        <w:t>6. Anticipated Q&amp;A — Your Answers</w:t>
      </w:r>
    </w:p>
    <w:p>
      <w:r>
        <w:t>These are the questions most likely to be directed at you. Rehearse them.</w:t>
      </w:r>
    </w:p>
    <w:p>
      <w:r>
        <w:rPr>
          <w:b/>
        </w:rPr>
        <w:t>Q: Is the model biased against any racial group?</w:t>
      </w:r>
    </w:p>
    <w:p>
      <w:r>
        <w:t>A: No. We tested AUC and recall across racial groups. Asian patients: AUC 0.880, recall 86.7%. Black patients: AUC 0.860, recall 84.8%. White patients: AUC 0.847, recall 78.5%. The model actually has higher sensitivity for minority groups. This means it catches more at-risk patients in populations that face the greatest diabetes disparities. The AUC gap across race is only 0.033 — well within the range considered equitable.</w:t>
      </w:r>
    </w:p>
    <w:p>
      <w:r>
        <w:rPr>
          <w:b/>
        </w:rPr>
        <w:t>Q: Isn't it a problem that race is a feature in the model?</w:t>
      </w:r>
    </w:p>
    <w:p>
      <w:r>
        <w:t>A: Race is included as a covariate, not as a causal factor. It captures population-level patterns in glycemic control that may reflect social determinants, healthcare access, and biological variation. Importantly, the model does not penalize minority patients — it has higher sensitivity for them. If we removed race entirely, the model might actually perform worse for minority subgroups because it could no longer adjust for population differences. The key question is not whether race is in the model, but whether the model's outputs are equitable — and our subgroup analysis shows they are.</w:t>
      </w:r>
    </w:p>
    <w:p>
      <w:r>
        <w:rPr>
          <w:b/>
        </w:rPr>
        <w:t>Q: What about the small minority groups you couldn't evaluate (Pacific Islander, American Indian)?</w:t>
      </w:r>
    </w:p>
    <w:p>
      <w:r>
        <w:t>A: Pacific Islander and American Indian patients represent 188 and 201 patients in our dataset, yielding roughly 38–40 in the test set. This is too few for reliable AUC estimation. We acknowledge this as a limitation. External validation on a dataset with larger representation of these groups is essential before clinical deployment. We included these populations in training so the model learns from their data, even though we cannot reliably evaluate subgroup performance.</w:t>
      </w:r>
    </w:p>
    <w:p>
      <w:r>
        <w:rPr>
          <w:b/>
        </w:rPr>
        <w:t>Q: How does this compare to other published diabetes prediction models in terms of equity?</w:t>
      </w:r>
    </w:p>
    <w:p>
      <w:r>
        <w:t>A: Most published diabetes prediction models do not report subgroup performance at all. Those that do typically show AUC gaps of 0.05–0.10 across racial groups (e.g., Obermeyer et al. 2019 found a commercial algorithm systematically underestimated illness severity for Black patients). Our AUC gap of 0.033 across race, with higher recall for minorities, compares favorably. We believe subgroup analysis should be a standard requirement, not an optional add-on.</w:t>
      </w:r>
    </w:p>
    <w:p>
      <w:r>
        <w:rPr>
          <w:b/>
        </w:rPr>
        <w:t>Q: Why does the model perform better for women than men?</w:t>
      </w:r>
    </w:p>
    <w:p>
      <w:r>
        <w:t>A: Female AUC is 0.872 versus male AUC 0.829. One possible explanation is that female patients who become uncontrolled have more distinct clinical profiles (stronger A1c signals, more consistent patterns) that make them easier for the model to identify. Male patients may have more heterogeneous risk profiles — some with classic metabolic syndrome, others with behavioral risk factors like irregular care engagement — creating more noise for the model. Both genders have AUC well above 0.80, so the model works for both; it just works slightly better for women.</w:t>
      </w:r>
    </w:p>
    <w:p>
      <w:r>
        <w:rPr>
          <w:b/>
        </w:rPr>
        <w:t>Q: You said younger patients are higher risk. Why?</w:t>
      </w:r>
    </w:p>
    <w:p>
      <w:r>
        <w:t>A: This is the "young-adult paradox" documented in diabetes literature. Younger diabetics often have: (1) more aggressive disease biology, especially in early-onset Type 2 diabetes, (2) shorter treatment history with less-optimized regimens, (3) psychosocial barriers — work demands, less established care relationships, insurance gaps, (4) a higher proportion of Type 1 diabetes, which is inherently harder to control, and (5) possible diagnostic delay leading to higher A1c at presentation. Our data shows 14.3% uncontrolled for under-30 versus 8.8% for over-80, and the model confirmed this with SHAP analysis (age rank #5).</w:t>
      </w:r>
    </w:p>
    <w:p>
      <w:r>
        <w:rPr>
          <w:b/>
        </w:rPr>
        <w:t>Q: What evidence from the literature supports your feature choices?</w:t>
      </w:r>
    </w:p>
    <w:p>
      <w:r>
        <w:t>A: Three key literature connections: (1) A1c variability as an independent risk factor — multiple studies since 2015 show visit-to-visit A1c fluctuation predicts complications beyond mean A1c. Our a1c_variability feature captures this. (2) Therapeutic inertia — the failure to escalate treatment when A1c is above target. Our undertreated feature (A1c ≥ 8, zero meds) directly captures this. (3) Treatment-resistant diabetes as a distinct phenotype — patients on multiple agents who cannot achieve control represent a known high-risk subgroup. Our treatment_resistant feature is one of the model's strongest non-A1c predictors.</w:t>
      </w:r>
    </w:p>
    <w:p>
      <w:r>
        <w:br w:type="page"/>
      </w:r>
    </w:p>
    <w:p>
      <w:pPr>
        <w:pStyle w:val="Heading1"/>
      </w:pPr>
      <w:r>
        <w:t>Quick Reference Card</w:t>
      </w:r>
    </w:p>
    <w:p>
      <w:r>
        <w:t>Pin this page. Key equity numbers at your fingertips.</w:t>
      </w:r>
    </w:p>
    <w:p>
      <w:r>
        <w:rPr>
          <w:b/>
        </w:rPr>
        <w:t>Subgroup AUC summary: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Dimension</w:t>
            </w:r>
          </w:p>
        </w:tc>
        <w:tc>
          <w:tcPr>
            <w:tcW w:type="dxa" w:w="1728"/>
          </w:tcPr>
          <w:p>
            <w:r>
              <w:rPr>
                <w:b/>
                <w:sz w:val="20"/>
              </w:rPr>
              <w:t>Range</w:t>
            </w:r>
          </w:p>
        </w:tc>
        <w:tc>
          <w:tcPr>
            <w:tcW w:type="dxa" w:w="1728"/>
          </w:tcPr>
          <w:p>
            <w:r>
              <w:rPr>
                <w:b/>
                <w:sz w:val="20"/>
              </w:rPr>
              <w:t>Gap</w:t>
            </w:r>
          </w:p>
        </w:tc>
        <w:tc>
          <w:tcPr>
            <w:tcW w:type="dxa" w:w="1728"/>
          </w:tcPr>
          <w:p>
            <w:r>
              <w:rPr>
                <w:b/>
                <w:sz w:val="20"/>
              </w:rPr>
              <w:t>Best group</w:t>
            </w:r>
          </w:p>
        </w:tc>
        <w:tc>
          <w:tcPr>
            <w:tcW w:type="dxa" w:w="1728"/>
          </w:tcPr>
          <w:p>
            <w:r>
              <w:rPr>
                <w:b/>
                <w:sz w:val="20"/>
              </w:rPr>
              <w:t>Key finding</w:t>
            </w:r>
          </w:p>
        </w:tc>
      </w:tr>
      <w:tr>
        <w:tc>
          <w:tcPr>
            <w:tcW w:type="dxa" w:w="1728"/>
          </w:tcPr>
          <w:p>
            <w:r>
              <w:rPr>
                <w:sz w:val="20"/>
              </w:rPr>
              <w:t>Race</w:t>
            </w:r>
          </w:p>
        </w:tc>
        <w:tc>
          <w:tcPr>
            <w:tcW w:type="dxa" w:w="1728"/>
          </w:tcPr>
          <w:p>
            <w:r>
              <w:rPr>
                <w:sz w:val="20"/>
              </w:rPr>
              <w:t>0.847–0.880</w:t>
            </w:r>
          </w:p>
        </w:tc>
        <w:tc>
          <w:tcPr>
            <w:tcW w:type="dxa" w:w="1728"/>
          </w:tcPr>
          <w:p>
            <w:r>
              <w:rPr>
                <w:sz w:val="20"/>
              </w:rPr>
              <w:t>0.033</w:t>
            </w:r>
          </w:p>
        </w:tc>
        <w:tc>
          <w:tcPr>
            <w:tcW w:type="dxa" w:w="1728"/>
          </w:tcPr>
          <w:p>
            <w:r>
              <w:rPr>
                <w:sz w:val="20"/>
              </w:rPr>
              <w:t>Asian (0.880)</w:t>
            </w:r>
          </w:p>
        </w:tc>
        <w:tc>
          <w:tcPr>
            <w:tcW w:type="dxa" w:w="1728"/>
          </w:tcPr>
          <w:p>
            <w:r>
              <w:rPr>
                <w:sz w:val="20"/>
              </w:rPr>
              <w:t>Higher recall for minorities</w:t>
            </w:r>
          </w:p>
        </w:tc>
      </w:tr>
      <w:tr>
        <w:tc>
          <w:tcPr>
            <w:tcW w:type="dxa" w:w="1728"/>
          </w:tcPr>
          <w:p>
            <w:r>
              <w:rPr>
                <w:sz w:val="20"/>
              </w:rPr>
              <w:t>Gender</w:t>
            </w:r>
          </w:p>
        </w:tc>
        <w:tc>
          <w:tcPr>
            <w:tcW w:type="dxa" w:w="1728"/>
          </w:tcPr>
          <w:p>
            <w:r>
              <w:rPr>
                <w:sz w:val="20"/>
              </w:rPr>
              <w:t>0.829–0.872</w:t>
            </w:r>
          </w:p>
        </w:tc>
        <w:tc>
          <w:tcPr>
            <w:tcW w:type="dxa" w:w="1728"/>
          </w:tcPr>
          <w:p>
            <w:r>
              <w:rPr>
                <w:sz w:val="20"/>
              </w:rPr>
              <w:t>0.043</w:t>
            </w:r>
          </w:p>
        </w:tc>
        <w:tc>
          <w:tcPr>
            <w:tcW w:type="dxa" w:w="1728"/>
          </w:tcPr>
          <w:p>
            <w:r>
              <w:rPr>
                <w:sz w:val="20"/>
              </w:rPr>
              <w:t>Female (0.872)</w:t>
            </w:r>
          </w:p>
        </w:tc>
        <w:tc>
          <w:tcPr>
            <w:tcW w:type="dxa" w:w="1728"/>
          </w:tcPr>
          <w:p>
            <w:r>
              <w:rPr>
                <w:sz w:val="20"/>
              </w:rPr>
              <w:t>Males harder to predict</w:t>
            </w:r>
          </w:p>
        </w:tc>
      </w:tr>
      <w:tr>
        <w:tc>
          <w:tcPr>
            <w:tcW w:type="dxa" w:w="1728"/>
          </w:tcPr>
          <w:p>
            <w:r>
              <w:rPr>
                <w:sz w:val="20"/>
              </w:rPr>
              <w:t>Age</w:t>
            </w:r>
          </w:p>
        </w:tc>
        <w:tc>
          <w:tcPr>
            <w:tcW w:type="dxa" w:w="1728"/>
          </w:tcPr>
          <w:p>
            <w:r>
              <w:rPr>
                <w:sz w:val="20"/>
              </w:rPr>
              <w:t>0.837–0.861</w:t>
            </w:r>
          </w:p>
        </w:tc>
        <w:tc>
          <w:tcPr>
            <w:tcW w:type="dxa" w:w="1728"/>
          </w:tcPr>
          <w:p>
            <w:r>
              <w:rPr>
                <w:sz w:val="20"/>
              </w:rPr>
              <w:t>0.025</w:t>
            </w:r>
          </w:p>
        </w:tc>
        <w:tc>
          <w:tcPr>
            <w:tcW w:type="dxa" w:w="1728"/>
          </w:tcPr>
          <w:p>
            <w:r>
              <w:rPr>
                <w:sz w:val="20"/>
              </w:rPr>
              <w:t>75+ (0.861)</w:t>
            </w:r>
          </w:p>
        </w:tc>
        <w:tc>
          <w:tcPr>
            <w:tcW w:type="dxa" w:w="1728"/>
          </w:tcPr>
          <w:p>
            <w:r>
              <w:rPr>
                <w:sz w:val="20"/>
              </w:rPr>
              <w:t>Very consistent</w:t>
            </w:r>
          </w:p>
        </w:tc>
      </w:tr>
      <w:tr>
        <w:tc>
          <w:tcPr>
            <w:tcW w:type="dxa" w:w="1728"/>
          </w:tcPr>
          <w:p>
            <w:r>
              <w:rPr>
                <w:sz w:val="20"/>
              </w:rPr>
              <w:t>ADI</w:t>
            </w:r>
          </w:p>
        </w:tc>
        <w:tc>
          <w:tcPr>
            <w:tcW w:type="dxa" w:w="1728"/>
          </w:tcPr>
          <w:p>
            <w:r>
              <w:rPr>
                <w:sz w:val="20"/>
              </w:rPr>
              <w:t>0.839–0.881</w:t>
            </w:r>
          </w:p>
        </w:tc>
        <w:tc>
          <w:tcPr>
            <w:tcW w:type="dxa" w:w="1728"/>
          </w:tcPr>
          <w:p>
            <w:r>
              <w:rPr>
                <w:sz w:val="20"/>
              </w:rPr>
              <w:t>0.042</w:t>
            </w:r>
          </w:p>
        </w:tc>
        <w:tc>
          <w:tcPr>
            <w:tcW w:type="dxa" w:w="1728"/>
          </w:tcPr>
          <w:p>
            <w:r>
              <w:rPr>
                <w:sz w:val="20"/>
              </w:rPr>
              <w:t>Least deprived (0.881)</w:t>
            </w:r>
          </w:p>
        </w:tc>
        <w:tc>
          <w:tcPr>
            <w:tcW w:type="dxa" w:w="1728"/>
          </w:tcPr>
          <w:p>
            <w:r>
              <w:rPr>
                <w:sz w:val="20"/>
              </w:rPr>
              <w:t>No systematic disadvantage</w:t>
            </w:r>
          </w:p>
        </w:tc>
      </w:tr>
      <w:tr>
        <w:tc>
          <w:tcPr>
            <w:tcW w:type="dxa" w:w="1728"/>
          </w:tcPr>
          <w:p>
            <w:r>
              <w:rPr>
                <w:sz w:val="20"/>
              </w:rPr>
              <w:t>Insurance</w:t>
            </w:r>
          </w:p>
        </w:tc>
        <w:tc>
          <w:tcPr>
            <w:tcW w:type="dxa" w:w="1728"/>
          </w:tcPr>
          <w:p>
            <w:r>
              <w:rPr>
                <w:sz w:val="20"/>
              </w:rPr>
              <w:t>0.858–0.897</w:t>
            </w:r>
          </w:p>
        </w:tc>
        <w:tc>
          <w:tcPr>
            <w:tcW w:type="dxa" w:w="1728"/>
          </w:tcPr>
          <w:p>
            <w:r>
              <w:rPr>
                <w:sz w:val="20"/>
              </w:rPr>
              <w:t>0.039</w:t>
            </w:r>
          </w:p>
        </w:tc>
        <w:tc>
          <w:tcPr>
            <w:tcW w:type="dxa" w:w="1728"/>
          </w:tcPr>
          <w:p>
            <w:r>
              <w:rPr>
                <w:sz w:val="20"/>
              </w:rPr>
              <w:t>Pending review (0.897)</w:t>
            </w:r>
          </w:p>
        </w:tc>
        <w:tc>
          <w:tcPr>
            <w:tcW w:type="dxa" w:w="1728"/>
          </w:tcPr>
          <w:p>
            <w:r>
              <w:rPr>
                <w:sz w:val="20"/>
              </w:rPr>
              <w:t>Medicaid: highest recall (91–93%)</w:t>
            </w:r>
          </w:p>
        </w:tc>
      </w:tr>
    </w:tbl>
    <w:p/>
    <w:p>
      <w:r>
        <w:rPr>
          <w:b/>
        </w:rPr>
        <w:t>Demographic risk rates (from our data):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Group</w:t>
            </w:r>
          </w:p>
        </w:tc>
        <w:tc>
          <w:tcPr>
            <w:tcW w:type="dxa" w:w="2880"/>
          </w:tcPr>
          <w:p>
            <w:r>
              <w:rPr>
                <w:b/>
                <w:sz w:val="20"/>
              </w:rPr>
              <w:t>Uncontrolled rate</w:t>
            </w:r>
          </w:p>
        </w:tc>
        <w:tc>
          <w:tcPr>
            <w:tcW w:type="dxa" w:w="2880"/>
          </w:tcPr>
          <w:p>
            <w:r>
              <w:rPr>
                <w:b/>
                <w:sz w:val="20"/>
              </w:rPr>
              <w:t>vs. Overall (10.6%)</w:t>
            </w:r>
          </w:p>
        </w:tc>
      </w:tr>
      <w:tr>
        <w:tc>
          <w:tcPr>
            <w:tcW w:type="dxa" w:w="2880"/>
          </w:tcPr>
          <w:p>
            <w:r>
              <w:rPr>
                <w:sz w:val="20"/>
              </w:rPr>
              <w:t>Pacific Islander</w:t>
            </w:r>
          </w:p>
        </w:tc>
        <w:tc>
          <w:tcPr>
            <w:tcW w:type="dxa" w:w="2880"/>
          </w:tcPr>
          <w:p>
            <w:r>
              <w:rPr>
                <w:sz w:val="20"/>
              </w:rPr>
              <w:t>15.4%</w:t>
            </w:r>
          </w:p>
        </w:tc>
        <w:tc>
          <w:tcPr>
            <w:tcW w:type="dxa" w:w="2880"/>
          </w:tcPr>
          <w:p>
            <w:r>
              <w:rPr>
                <w:sz w:val="20"/>
              </w:rPr>
              <w:t>+4.8pp</w:t>
            </w:r>
          </w:p>
        </w:tc>
      </w:tr>
      <w:tr>
        <w:tc>
          <w:tcPr>
            <w:tcW w:type="dxa" w:w="2880"/>
          </w:tcPr>
          <w:p>
            <w:r>
              <w:rPr>
                <w:sz w:val="20"/>
              </w:rPr>
              <w:t>American Indian</w:t>
            </w:r>
          </w:p>
        </w:tc>
        <w:tc>
          <w:tcPr>
            <w:tcW w:type="dxa" w:w="2880"/>
          </w:tcPr>
          <w:p>
            <w:r>
              <w:rPr>
                <w:sz w:val="20"/>
              </w:rPr>
              <w:t>14.9%</w:t>
            </w:r>
          </w:p>
        </w:tc>
        <w:tc>
          <w:tcPr>
            <w:tcW w:type="dxa" w:w="2880"/>
          </w:tcPr>
          <w:p>
            <w:r>
              <w:rPr>
                <w:sz w:val="20"/>
              </w:rPr>
              <w:t>+4.3pp</w:t>
            </w:r>
          </w:p>
        </w:tc>
      </w:tr>
      <w:tr>
        <w:tc>
          <w:tcPr>
            <w:tcW w:type="dxa" w:w="2880"/>
          </w:tcPr>
          <w:p>
            <w:r>
              <w:rPr>
                <w:sz w:val="20"/>
              </w:rPr>
              <w:t>Under-30</w:t>
            </w:r>
          </w:p>
        </w:tc>
        <w:tc>
          <w:tcPr>
            <w:tcW w:type="dxa" w:w="2880"/>
          </w:tcPr>
          <w:p>
            <w:r>
              <w:rPr>
                <w:sz w:val="20"/>
              </w:rPr>
              <w:t>14.3%</w:t>
            </w:r>
          </w:p>
        </w:tc>
        <w:tc>
          <w:tcPr>
            <w:tcW w:type="dxa" w:w="2880"/>
          </w:tcPr>
          <w:p>
            <w:r>
              <w:rPr>
                <w:sz w:val="20"/>
              </w:rPr>
              <w:t>+3.7pp</w:t>
            </w:r>
          </w:p>
        </w:tc>
      </w:tr>
      <w:tr>
        <w:tc>
          <w:tcPr>
            <w:tcW w:type="dxa" w:w="2880"/>
          </w:tcPr>
          <w:p>
            <w:r>
              <w:rPr>
                <w:sz w:val="20"/>
              </w:rPr>
              <w:t>Hispanic</w:t>
            </w:r>
          </w:p>
        </w:tc>
        <w:tc>
          <w:tcPr>
            <w:tcW w:type="dxa" w:w="2880"/>
          </w:tcPr>
          <w:p>
            <w:r>
              <w:rPr>
                <w:sz w:val="20"/>
              </w:rPr>
              <w:t>12.8%</w:t>
            </w:r>
          </w:p>
        </w:tc>
        <w:tc>
          <w:tcPr>
            <w:tcW w:type="dxa" w:w="2880"/>
          </w:tcPr>
          <w:p>
            <w:r>
              <w:rPr>
                <w:sz w:val="20"/>
              </w:rPr>
              <w:t>+2.2pp</w:t>
            </w:r>
          </w:p>
        </w:tc>
      </w:tr>
      <w:tr>
        <w:tc>
          <w:tcPr>
            <w:tcW w:type="dxa" w:w="2880"/>
          </w:tcPr>
          <w:p>
            <w:r>
              <w:rPr>
                <w:sz w:val="20"/>
              </w:rPr>
              <w:t>Male</w:t>
            </w:r>
          </w:p>
        </w:tc>
        <w:tc>
          <w:tcPr>
            <w:tcW w:type="dxa" w:w="2880"/>
          </w:tcPr>
          <w:p>
            <w:r>
              <w:rPr>
                <w:sz w:val="20"/>
              </w:rPr>
              <w:t>11.8%</w:t>
            </w:r>
          </w:p>
        </w:tc>
        <w:tc>
          <w:tcPr>
            <w:tcW w:type="dxa" w:w="2880"/>
          </w:tcPr>
          <w:p>
            <w:r>
              <w:rPr>
                <w:sz w:val="20"/>
              </w:rPr>
              <w:t>+1.2pp</w:t>
            </w:r>
          </w:p>
        </w:tc>
      </w:tr>
      <w:tr>
        <w:tc>
          <w:tcPr>
            <w:tcW w:type="dxa" w:w="2880"/>
          </w:tcPr>
          <w:p>
            <w:r>
              <w:rPr>
                <w:sz w:val="20"/>
              </w:rPr>
              <w:t>Black</w:t>
            </w:r>
          </w:p>
        </w:tc>
        <w:tc>
          <w:tcPr>
            <w:tcW w:type="dxa" w:w="2880"/>
          </w:tcPr>
          <w:p>
            <w:r>
              <w:rPr>
                <w:sz w:val="20"/>
              </w:rPr>
              <w:t>11.9%</w:t>
            </w:r>
          </w:p>
        </w:tc>
        <w:tc>
          <w:tcPr>
            <w:tcW w:type="dxa" w:w="2880"/>
          </w:tcPr>
          <w:p>
            <w:r>
              <w:rPr>
                <w:sz w:val="20"/>
              </w:rPr>
              <w:t>+1.3pp</w:t>
            </w:r>
          </w:p>
        </w:tc>
      </w:tr>
      <w:tr>
        <w:tc>
          <w:tcPr>
            <w:tcW w:type="dxa" w:w="2880"/>
          </w:tcPr>
          <w:p>
            <w:r>
              <w:rPr>
                <w:sz w:val="20"/>
              </w:rPr>
              <w:t>White</w:t>
            </w:r>
          </w:p>
        </w:tc>
        <w:tc>
          <w:tcPr>
            <w:tcW w:type="dxa" w:w="2880"/>
          </w:tcPr>
          <w:p>
            <w:r>
              <w:rPr>
                <w:sz w:val="20"/>
              </w:rPr>
              <w:t>10.1%</w:t>
            </w:r>
          </w:p>
        </w:tc>
        <w:tc>
          <w:tcPr>
            <w:tcW w:type="dxa" w:w="2880"/>
          </w:tcPr>
          <w:p>
            <w:r>
              <w:rPr>
                <w:sz w:val="20"/>
              </w:rPr>
              <w:t>-0.5pp</w:t>
            </w:r>
          </w:p>
        </w:tc>
      </w:tr>
      <w:tr>
        <w:tc>
          <w:tcPr>
            <w:tcW w:type="dxa" w:w="2880"/>
          </w:tcPr>
          <w:p>
            <w:r>
              <w:rPr>
                <w:sz w:val="20"/>
              </w:rPr>
              <w:t>Female</w:t>
            </w:r>
          </w:p>
        </w:tc>
        <w:tc>
          <w:tcPr>
            <w:tcW w:type="dxa" w:w="2880"/>
          </w:tcPr>
          <w:p>
            <w:r>
              <w:rPr>
                <w:sz w:val="20"/>
              </w:rPr>
              <w:t>9.6%</w:t>
            </w:r>
          </w:p>
        </w:tc>
        <w:tc>
          <w:tcPr>
            <w:tcW w:type="dxa" w:w="2880"/>
          </w:tcPr>
          <w:p>
            <w:r>
              <w:rPr>
                <w:sz w:val="20"/>
              </w:rPr>
              <w:t>-1.0pp</w:t>
            </w:r>
          </w:p>
        </w:tc>
      </w:tr>
      <w:tr>
        <w:tc>
          <w:tcPr>
            <w:tcW w:type="dxa" w:w="2880"/>
          </w:tcPr>
          <w:p>
            <w:r>
              <w:rPr>
                <w:sz w:val="20"/>
              </w:rPr>
              <w:t>Over-80</w:t>
            </w:r>
          </w:p>
        </w:tc>
        <w:tc>
          <w:tcPr>
            <w:tcW w:type="dxa" w:w="2880"/>
          </w:tcPr>
          <w:p>
            <w:r>
              <w:rPr>
                <w:sz w:val="20"/>
              </w:rPr>
              <w:t>8.8%</w:t>
            </w:r>
          </w:p>
        </w:tc>
        <w:tc>
          <w:tcPr>
            <w:tcW w:type="dxa" w:w="2880"/>
          </w:tcPr>
          <w:p>
            <w:r>
              <w:rPr>
                <w:sz w:val="20"/>
              </w:rPr>
              <w:t>-1.8pp</w:t>
            </w:r>
          </w:p>
        </w:tc>
      </w:tr>
    </w:tbl>
    <w:p/>
    <w:p>
      <w:r>
        <w:rPr>
          <w:b/>
        </w:rPr>
        <w:t>Literature shortcuts: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Our finding</w:t>
            </w:r>
          </w:p>
        </w:tc>
        <w:tc>
          <w:tcPr>
            <w:tcW w:type="dxa" w:w="2880"/>
          </w:tcPr>
          <w:p>
            <w:r>
              <w:rPr>
                <w:b/>
                <w:sz w:val="20"/>
              </w:rPr>
              <w:t>PubMed search</w:t>
            </w:r>
          </w:p>
        </w:tc>
        <w:tc>
          <w:tcPr>
            <w:tcW w:type="dxa" w:w="2880"/>
          </w:tcPr>
          <w:p>
            <w:r>
              <w:rPr>
                <w:b/>
                <w:sz w:val="20"/>
              </w:rPr>
              <w:t>Key reference to look for</w:t>
            </w:r>
          </w:p>
        </w:tc>
      </w:tr>
      <w:tr>
        <w:tc>
          <w:tcPr>
            <w:tcW w:type="dxa" w:w="2880"/>
          </w:tcPr>
          <w:p>
            <w:r>
              <w:rPr>
                <w:sz w:val="20"/>
              </w:rPr>
              <w:t>treatment_resistant feature</w:t>
            </w:r>
          </w:p>
        </w:tc>
        <w:tc>
          <w:tcPr>
            <w:tcW w:type="dxa" w:w="2880"/>
          </w:tcPr>
          <w:p>
            <w:r>
              <w:rPr>
                <w:sz w:val="20"/>
              </w:rPr>
              <w:t>"treatment resistant type 2 diabetes"</w:t>
            </w:r>
          </w:p>
        </w:tc>
        <w:tc>
          <w:tcPr>
            <w:tcW w:type="dxa" w:w="2880"/>
          </w:tcPr>
          <w:p>
            <w:r>
              <w:rPr>
                <w:sz w:val="20"/>
              </w:rPr>
              <w:t>Studies on multi-drug failure phenotypes</w:t>
            </w:r>
          </w:p>
        </w:tc>
      </w:tr>
      <w:tr>
        <w:tc>
          <w:tcPr>
            <w:tcW w:type="dxa" w:w="2880"/>
          </w:tcPr>
          <w:p>
            <w:r>
              <w:rPr>
                <w:sz w:val="20"/>
              </w:rPr>
              <w:t>A1c variability predicts risk</w:t>
            </w:r>
          </w:p>
        </w:tc>
        <w:tc>
          <w:tcPr>
            <w:tcW w:type="dxa" w:w="2880"/>
          </w:tcPr>
          <w:p>
            <w:r>
              <w:rPr>
                <w:sz w:val="20"/>
              </w:rPr>
              <w:t>"HbA1c variability outcomes"</w:t>
            </w:r>
          </w:p>
        </w:tc>
        <w:tc>
          <w:tcPr>
            <w:tcW w:type="dxa" w:w="2880"/>
          </w:tcPr>
          <w:p>
            <w:r>
              <w:rPr>
                <w:sz w:val="20"/>
              </w:rPr>
              <w:t>Gorst et al. 2015, Diabetes Care</w:t>
            </w:r>
          </w:p>
        </w:tc>
      </w:tr>
      <w:tr>
        <w:tc>
          <w:tcPr>
            <w:tcW w:type="dxa" w:w="2880"/>
          </w:tcPr>
          <w:p>
            <w:r>
              <w:rPr>
                <w:sz w:val="20"/>
              </w:rPr>
              <w:t>Young adults harder to control</w:t>
            </w:r>
          </w:p>
        </w:tc>
        <w:tc>
          <w:tcPr>
            <w:tcW w:type="dxa" w:w="2880"/>
          </w:tcPr>
          <w:p>
            <w:r>
              <w:rPr>
                <w:sz w:val="20"/>
              </w:rPr>
              <w:t>"young adults diabetes glycemic control"</w:t>
            </w:r>
          </w:p>
        </w:tc>
        <w:tc>
          <w:tcPr>
            <w:tcW w:type="dxa" w:w="2880"/>
          </w:tcPr>
          <w:p>
            <w:r>
              <w:rPr>
                <w:sz w:val="20"/>
              </w:rPr>
              <w:t>Hillier &amp; Pedula 2003; TODAY Study Group</w:t>
            </w:r>
          </w:p>
        </w:tc>
      </w:tr>
      <w:tr>
        <w:tc>
          <w:tcPr>
            <w:tcW w:type="dxa" w:w="2880"/>
          </w:tcPr>
          <w:p>
            <w:r>
              <w:rPr>
                <w:sz w:val="20"/>
              </w:rPr>
              <w:t>Racial disparities in A1c</w:t>
            </w:r>
          </w:p>
        </w:tc>
        <w:tc>
          <w:tcPr>
            <w:tcW w:type="dxa" w:w="2880"/>
          </w:tcPr>
          <w:p>
            <w:r>
              <w:rPr>
                <w:sz w:val="20"/>
              </w:rPr>
              <w:t>"racial disparities hemoglobin A1c"</w:t>
            </w:r>
          </w:p>
        </w:tc>
        <w:tc>
          <w:tcPr>
            <w:tcW w:type="dxa" w:w="2880"/>
          </w:tcPr>
          <w:p>
            <w:r>
              <w:rPr>
                <w:sz w:val="20"/>
              </w:rPr>
              <w:t>CDC MMWR reports; Peek et al. 2007</w:t>
            </w:r>
          </w:p>
        </w:tc>
      </w:tr>
      <w:tr>
        <w:tc>
          <w:tcPr>
            <w:tcW w:type="dxa" w:w="2880"/>
          </w:tcPr>
          <w:p>
            <w:r>
              <w:rPr>
                <w:sz w:val="20"/>
              </w:rPr>
              <w:t>Bias in clinical AI</w:t>
            </w:r>
          </w:p>
        </w:tc>
        <w:tc>
          <w:tcPr>
            <w:tcW w:type="dxa" w:w="2880"/>
          </w:tcPr>
          <w:p>
            <w:r>
              <w:rPr>
                <w:sz w:val="20"/>
              </w:rPr>
              <w:t>"algorithmic fairness healthcare"</w:t>
            </w:r>
          </w:p>
        </w:tc>
        <w:tc>
          <w:tcPr>
            <w:tcW w:type="dxa" w:w="2880"/>
          </w:tcPr>
          <w:p>
            <w:r>
              <w:rPr>
                <w:sz w:val="20"/>
              </w:rPr>
              <w:t>Obermeyer et al. 2019 Science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477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47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477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