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hardgate-brand-rules"/>
    <w:p>
      <w:pPr>
        <w:pStyle w:val="Heading1"/>
      </w:pPr>
      <w:r>
        <w:t xml:space="preserve">ShardGate Brand Rules</w:t>
      </w:r>
    </w:p>
    <w:p>
      <w:pPr>
        <w:pStyle w:val="FirstParagraph"/>
      </w:pPr>
      <w:r>
        <w:t xml:space="preserve">This document defines the complete and final brand system for ShardGate. No legacy brands exist. These rules are authoritative.</w:t>
      </w:r>
    </w:p>
    <w:p>
      <w:pPr>
        <w:pStyle w:val="BodyText"/>
      </w:pPr>
      <w:r>
        <w:rPr>
          <w:b/>
          <w:bCs/>
        </w:rPr>
        <w:t xml:space="preserve">Company Pitch:</w:t>
      </w:r>
      <w:r>
        <w:t xml:space="preserve"> </w:t>
      </w:r>
      <w:r>
        <w:t xml:space="preserve">ShardGate is an indie game studio creating original games and high-quality Minecraft content.</w:t>
      </w:r>
    </w:p>
    <w:p>
      <w:r>
        <w:pict>
          <v:rect style="width:0;height:1.5pt" o:hralign="center" o:hrstd="t" o:hr="t"/>
        </w:pict>
      </w:r>
    </w:p>
    <w:bookmarkStart w:id="20" w:name="brand-identity"/>
    <w:p>
      <w:pPr>
        <w:pStyle w:val="Heading2"/>
      </w:pPr>
      <w:r>
        <w:t xml:space="preserve">1. Brand Identity</w:t>
      </w:r>
    </w:p>
    <w:p>
      <w:pPr>
        <w:pStyle w:val="FirstParagraph"/>
      </w:pPr>
      <w:r>
        <w:t xml:space="preserve">ShardGate is an indie game studio producing games and Minecraft-related projects under a single parent brand.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labels</w:t>
      </w:r>
      <w:r>
        <w:t xml:space="preserve">, not sub-brands: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ShardGate MC</w:t>
      </w:r>
      <w:r>
        <w:t xml:space="preserve"> </w:t>
      </w:r>
      <w:r>
        <w:t xml:space="preserve">— Minecraft-related projects</w:t>
      </w:r>
    </w:p>
    <w:p>
      <w:pPr>
        <w:pStyle w:val="BodyText"/>
      </w:pPr>
      <w:r>
        <w:t xml:space="preserve">Labels describe project scope only. They never override the parent brand.</w:t>
      </w:r>
    </w:p>
    <w:p>
      <w:pPr>
        <w:pStyle w:val="BodyText"/>
      </w:pPr>
      <w:r>
        <w:rPr>
          <w:b/>
          <w:bCs/>
        </w:rPr>
        <w:t xml:space="preserve">Minecraft Project Aesthetic:</w:t>
      </w:r>
      <w:r>
        <w:t xml:space="preserve"> </w:t>
      </w:r>
      <w:r>
        <w:t xml:space="preserve">All ShardGate MC projects follow a green-centric aesthetic to visually differentiate Minecraft-related content.</w:t>
      </w:r>
    </w:p>
    <w:p>
      <w:r>
        <w:pict>
          <v:rect style="width:0;height:1.5pt" o:hralign="center" o:hrstd="t" o:hr="t"/>
        </w:pict>
      </w:r>
    </w:p>
    <w:bookmarkEnd w:id="20"/>
    <w:bookmarkStart w:id="24" w:name="logo-system"/>
    <w:p>
      <w:pPr>
        <w:pStyle w:val="Heading2"/>
      </w:pPr>
      <w:r>
        <w:t xml:space="preserve">2. Logo System</w:t>
      </w:r>
    </w:p>
    <w:bookmarkStart w:id="21" w:name="primary-logo"/>
    <w:p>
      <w:pPr>
        <w:pStyle w:val="Heading3"/>
      </w:pPr>
      <w:r>
        <w:t xml:space="preserve">Primary Logo</w:t>
      </w:r>
    </w:p>
    <w:p>
      <w:pPr>
        <w:pStyle w:val="Compact"/>
        <w:numPr>
          <w:ilvl w:val="0"/>
          <w:numId w:val="1001"/>
        </w:numPr>
      </w:pPr>
      <w:r>
        <w:t xml:space="preserve">Green portal with purple diamond.</w:t>
      </w:r>
    </w:p>
    <w:p>
      <w:pPr>
        <w:pStyle w:val="Compact"/>
        <w:numPr>
          <w:ilvl w:val="0"/>
          <w:numId w:val="1001"/>
        </w:numPr>
      </w:pPr>
      <w:r>
        <w:t xml:space="preserve">Logo must be used exactly as provided.</w:t>
      </w:r>
    </w:p>
    <w:p>
      <w:pPr>
        <w:pStyle w:val="Compact"/>
        <w:numPr>
          <w:ilvl w:val="0"/>
          <w:numId w:val="1001"/>
        </w:numPr>
      </w:pPr>
      <w:r>
        <w:t xml:space="preserve">No reshaping, recoloring, outlining, or effects.</w:t>
      </w:r>
    </w:p>
    <w:bookmarkEnd w:id="21"/>
    <w:bookmarkStart w:id="22" w:name="logo-integrity"/>
    <w:p>
      <w:pPr>
        <w:pStyle w:val="Heading3"/>
      </w:pPr>
      <w:r>
        <w:t xml:space="preserve">Logo Integrity</w:t>
      </w:r>
    </w:p>
    <w:p>
      <w:pPr>
        <w:pStyle w:val="Compact"/>
        <w:numPr>
          <w:ilvl w:val="0"/>
          <w:numId w:val="1002"/>
        </w:numPr>
      </w:pPr>
      <w:r>
        <w:t xml:space="preserve">Maintain original proportions at all times.</w:t>
      </w:r>
    </w:p>
    <w:p>
      <w:pPr>
        <w:pStyle w:val="Compact"/>
        <w:numPr>
          <w:ilvl w:val="0"/>
          <w:numId w:val="1002"/>
        </w:numPr>
      </w:pPr>
      <w:r>
        <w:t xml:space="preserve">No rotation, skewing, or cropping.</w:t>
      </w:r>
    </w:p>
    <w:p>
      <w:pPr>
        <w:pStyle w:val="Compact"/>
        <w:numPr>
          <w:ilvl w:val="0"/>
          <w:numId w:val="1002"/>
        </w:numPr>
      </w:pPr>
      <w:r>
        <w:t xml:space="preserve">No backgrounds, badges, or containers added behind the logo.</w:t>
      </w:r>
    </w:p>
    <w:bookmarkEnd w:id="22"/>
    <w:bookmarkStart w:id="23" w:name="placement"/>
    <w:p>
      <w:pPr>
        <w:pStyle w:val="Heading3"/>
      </w:pPr>
      <w:r>
        <w:t xml:space="preserve">Placement</w:t>
      </w:r>
    </w:p>
    <w:p>
      <w:pPr>
        <w:pStyle w:val="Compact"/>
        <w:numPr>
          <w:ilvl w:val="0"/>
          <w:numId w:val="1003"/>
        </w:numPr>
      </w:pPr>
      <w:r>
        <w:t xml:space="preserve">Logo always appears in the</w:t>
      </w:r>
      <w:r>
        <w:t xml:space="preserve"> </w:t>
      </w:r>
      <w:r>
        <w:rPr>
          <w:b/>
          <w:bCs/>
        </w:rPr>
        <w:t xml:space="preserve">bottom-left corner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Logo position is fixed across all artwork.</w:t>
      </w:r>
    </w:p>
    <w:p>
      <w:pPr>
        <w:pStyle w:val="Compact"/>
        <w:numPr>
          <w:ilvl w:val="0"/>
          <w:numId w:val="1003"/>
        </w:numPr>
      </w:pPr>
      <w:r>
        <w:t xml:space="preserve">Clear padding required on all sides.</w:t>
      </w:r>
    </w:p>
    <w:p>
      <w:pPr>
        <w:pStyle w:val="Compact"/>
        <w:numPr>
          <w:ilvl w:val="0"/>
          <w:numId w:val="1003"/>
        </w:numPr>
      </w:pPr>
      <w:r>
        <w:t xml:space="preserve">Logo must remain secondary to the artwork or title.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abel-usage"/>
    <w:p>
      <w:pPr>
        <w:pStyle w:val="Heading2"/>
      </w:pPr>
      <w:r>
        <w:t xml:space="preserve">3. Label Usage</w:t>
      </w:r>
    </w:p>
    <w:p>
      <w:pPr>
        <w:pStyle w:val="Compact"/>
        <w:numPr>
          <w:ilvl w:val="0"/>
          <w:numId w:val="1004"/>
        </w:numPr>
      </w:pPr>
      <w:r>
        <w:t xml:space="preserve">Labels are</w:t>
      </w:r>
      <w:r>
        <w:t xml:space="preserve"> </w:t>
      </w:r>
      <w:r>
        <w:rPr>
          <w:b/>
          <w:bCs/>
        </w:rPr>
        <w:t xml:space="preserve">text-only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Label text is placed</w:t>
      </w:r>
      <w:r>
        <w:t xml:space="preserve"> </w:t>
      </w:r>
      <w:r>
        <w:rPr>
          <w:b/>
          <w:bCs/>
        </w:rPr>
        <w:t xml:space="preserve">to the right of the logo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Logo + label form a single locked unit.</w:t>
      </w:r>
    </w:p>
    <w:p>
      <w:pPr>
        <w:pStyle w:val="Compact"/>
        <w:numPr>
          <w:ilvl w:val="0"/>
          <w:numId w:val="1004"/>
        </w:numPr>
      </w:pPr>
      <w:r>
        <w:t xml:space="preserve">The logo + label unit always appears in the</w:t>
      </w:r>
      <w:r>
        <w:t xml:space="preserve"> </w:t>
      </w:r>
      <w:r>
        <w:rPr>
          <w:b/>
          <w:bCs/>
        </w:rPr>
        <w:t xml:space="preserve">bottom-left corner</w:t>
      </w:r>
      <w:r>
        <w:t xml:space="preserve"> </w:t>
      </w:r>
      <w:r>
        <w:t xml:space="preserve">of the artwork.</w:t>
      </w:r>
    </w:p>
    <w:p>
      <w:pPr>
        <w:pStyle w:val="Compact"/>
        <w:numPr>
          <w:ilvl w:val="0"/>
          <w:numId w:val="1004"/>
        </w:numPr>
      </w:pPr>
      <w:r>
        <w:t xml:space="preserve">Labels must never appear without the logo.</w:t>
      </w:r>
    </w:p>
    <w:p>
      <w:pPr>
        <w:pStyle w:val="FirstParagraph"/>
      </w:pPr>
      <w:r>
        <w:rPr>
          <w:b/>
          <w:bCs/>
        </w:rPr>
        <w:t xml:space="preserve">Allowed label text</w:t>
      </w:r>
      <w:r>
        <w:t xml:space="preserve">:</w:t>
      </w:r>
      <w:r>
        <w:t xml:space="preserve"> </w:t>
      </w:r>
      <w:r>
        <w:t xml:space="preserve">- ShardGate MC</w:t>
      </w:r>
    </w:p>
    <w:p>
      <w:pPr>
        <w:pStyle w:val="BodyText"/>
      </w:pPr>
      <w:r>
        <w:t xml:space="preserve">No other labels are permitted.</w:t>
      </w:r>
    </w:p>
    <w:p>
      <w:r>
        <w:pict>
          <v:rect style="width:0;height:1.5pt" o:hralign="center" o:hrstd="t" o:hr="t"/>
        </w:pict>
      </w:r>
    </w:p>
    <w:bookmarkEnd w:id="25"/>
    <w:bookmarkStart w:id="26" w:name="typography"/>
    <w:p>
      <w:pPr>
        <w:pStyle w:val="Heading2"/>
      </w:pPr>
      <w:r>
        <w:t xml:space="preserve">4. Typography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 Variable 4.0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weight for labels.</w:t>
      </w:r>
    </w:p>
    <w:p>
      <w:pPr>
        <w:pStyle w:val="Compact"/>
        <w:numPr>
          <w:ilvl w:val="0"/>
          <w:numId w:val="1005"/>
        </w:numPr>
      </w:pPr>
      <w:r>
        <w:t xml:space="preserve">No custom tracking, outlines, or effects.</w:t>
      </w:r>
    </w:p>
    <w:p>
      <w:pPr>
        <w:pStyle w:val="Compact"/>
        <w:numPr>
          <w:ilvl w:val="0"/>
          <w:numId w:val="1005"/>
        </w:numPr>
      </w:pPr>
      <w:r>
        <w:t xml:space="preserve">Maintain clean, modern readability.</w:t>
      </w:r>
    </w:p>
    <w:p>
      <w:r>
        <w:pict>
          <v:rect style="width:0;height:1.5pt" o:hralign="center" o:hrstd="t" o:hr="t"/>
        </w:pict>
      </w:r>
    </w:p>
    <w:bookmarkEnd w:id="26"/>
    <w:bookmarkStart w:id="29" w:name="color-system"/>
    <w:p>
      <w:pPr>
        <w:pStyle w:val="Heading2"/>
      </w:pPr>
      <w:r>
        <w:t xml:space="preserve">5. Color System</w:t>
      </w:r>
    </w:p>
    <w:bookmarkStart w:id="27" w:name="primary-colors-locked"/>
    <w:p>
      <w:pPr>
        <w:pStyle w:val="Heading3"/>
      </w:pPr>
      <w:r>
        <w:t xml:space="preserve">Primary Colors (Locked)</w:t>
      </w:r>
    </w:p>
    <w:p>
      <w:pPr>
        <w:pStyle w:val="FirstParagraph"/>
      </w:pPr>
      <w:r>
        <w:rPr>
          <w:b/>
          <w:bCs/>
        </w:rPr>
        <w:t xml:space="preserve">ShardGate Green – 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#3BC341</w:t>
      </w:r>
    </w:p>
    <w:p>
      <w:pPr>
        <w:pStyle w:val="BodyText"/>
      </w:pPr>
      <w:r>
        <w:rPr>
          <w:b/>
          <w:bCs/>
        </w:rPr>
        <w:t xml:space="preserve">ShardGate Green – Deep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#2E8F35</w:t>
      </w:r>
    </w:p>
    <w:p>
      <w:pPr>
        <w:pStyle w:val="BodyText"/>
      </w:pPr>
      <w:r>
        <w:rPr>
          <w:b/>
          <w:bCs/>
        </w:rPr>
        <w:t xml:space="preserve">ShardGate Green – Soft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#6FE37A</w:t>
      </w:r>
    </w:p>
    <w:p>
      <w:pPr>
        <w:pStyle w:val="BodyText"/>
      </w:pPr>
      <w:r>
        <w:rPr>
          <w:b/>
          <w:bCs/>
        </w:rPr>
        <w:t xml:space="preserve">ShardGate Purple – 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#8000EC</w:t>
      </w:r>
    </w:p>
    <w:p>
      <w:pPr>
        <w:pStyle w:val="BodyText"/>
      </w:pPr>
      <w:r>
        <w:rPr>
          <w:b/>
          <w:bCs/>
        </w:rPr>
        <w:t xml:space="preserve">ShardGate Purple – Deep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#5E00B0</w:t>
      </w:r>
    </w:p>
    <w:p>
      <w:pPr>
        <w:pStyle w:val="BodyText"/>
      </w:pPr>
      <w:r>
        <w:rPr>
          <w:b/>
          <w:bCs/>
        </w:rPr>
        <w:t xml:space="preserve">ShardGate Purple – Soft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#A45BFF</w:t>
      </w:r>
    </w:p>
    <w:bookmarkEnd w:id="27"/>
    <w:bookmarkStart w:id="28" w:name="usage-rules"/>
    <w:p>
      <w:pPr>
        <w:pStyle w:val="Heading3"/>
      </w:pPr>
      <w:r>
        <w:t xml:space="preserve">Usage Rules</w:t>
      </w:r>
    </w:p>
    <w:p>
      <w:pPr>
        <w:pStyle w:val="Compact"/>
        <w:numPr>
          <w:ilvl w:val="0"/>
          <w:numId w:val="1006"/>
        </w:numPr>
      </w:pPr>
      <w:r>
        <w:t xml:space="preserve">Core colors define identity.</w:t>
      </w:r>
    </w:p>
    <w:p>
      <w:pPr>
        <w:pStyle w:val="Compact"/>
        <w:numPr>
          <w:ilvl w:val="0"/>
          <w:numId w:val="1006"/>
        </w:numPr>
      </w:pPr>
      <w:r>
        <w:t xml:space="preserve">Deep variants are used for shadows, depth, or emphasis.</w:t>
      </w:r>
    </w:p>
    <w:p>
      <w:pPr>
        <w:pStyle w:val="Compact"/>
        <w:numPr>
          <w:ilvl w:val="0"/>
          <w:numId w:val="1006"/>
        </w:numPr>
      </w:pPr>
      <w:r>
        <w:t xml:space="preserve">Soft variants are used for highlights or secondary fills.</w:t>
      </w:r>
    </w:p>
    <w:p>
      <w:pPr>
        <w:pStyle w:val="Compact"/>
        <w:numPr>
          <w:ilvl w:val="0"/>
          <w:numId w:val="1006"/>
        </w:numPr>
      </w:pPr>
      <w:r>
        <w:t xml:space="preserve">Do not mix green and purple in the same gradient.</w:t>
      </w:r>
    </w:p>
    <w:p>
      <w:pPr>
        <w:pStyle w:val="Compact"/>
        <w:numPr>
          <w:ilvl w:val="0"/>
          <w:numId w:val="1006"/>
        </w:numPr>
      </w:pPr>
      <w:r>
        <w:t xml:space="preserve">Do not introduce new hues.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Minecraft projects prioritize green tones in all visuals.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ackgrounds-gradients"/>
    <w:p>
      <w:pPr>
        <w:pStyle w:val="Heading2"/>
      </w:pPr>
      <w:r>
        <w:t xml:space="preserve">6. Backgrounds &amp; Gradients</w:t>
      </w:r>
    </w:p>
    <w:bookmarkStart w:id="30" w:name="general-rule"/>
    <w:p>
      <w:pPr>
        <w:pStyle w:val="Heading3"/>
      </w:pPr>
      <w:r>
        <w:t xml:space="preserve">General Rule</w:t>
      </w:r>
    </w:p>
    <w:p>
      <w:pPr>
        <w:pStyle w:val="Compact"/>
        <w:numPr>
          <w:ilvl w:val="0"/>
          <w:numId w:val="1007"/>
        </w:numPr>
      </w:pPr>
      <w:r>
        <w:t xml:space="preserve">ShardGate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gradients.</w:t>
      </w:r>
    </w:p>
    <w:p>
      <w:pPr>
        <w:pStyle w:val="Compact"/>
        <w:numPr>
          <w:ilvl w:val="0"/>
          <w:numId w:val="1007"/>
        </w:numPr>
      </w:pPr>
      <w:r>
        <w:t xml:space="preserve">Solid colors or illustrated backgrounds are preferred everywhere.</w:t>
      </w:r>
    </w:p>
    <w:bookmarkEnd w:id="30"/>
    <w:bookmarkStart w:id="31" w:name="artwork-backgrounds"/>
    <w:p>
      <w:pPr>
        <w:pStyle w:val="Heading3"/>
      </w:pPr>
      <w:r>
        <w:t xml:space="preserve">Artwork Backgrounds</w:t>
      </w:r>
    </w:p>
    <w:p>
      <w:pPr>
        <w:pStyle w:val="FirstParagraph"/>
      </w:pPr>
      <w:r>
        <w:t xml:space="preserve">Artwork backgrounds are visuals where content is the focus.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Game key art</w:t>
      </w:r>
      <w:r>
        <w:t xml:space="preserve"> </w:t>
      </w:r>
      <w:r>
        <w:t xml:space="preserve">- Minecraft thumbnails</w:t>
      </w:r>
      <w:r>
        <w:t xml:space="preserve"> </w:t>
      </w:r>
      <w:r>
        <w:t xml:space="preserve">- Promotional banners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 Gradients are</w:t>
      </w:r>
      <w:r>
        <w:t xml:space="preserve"> </w:t>
      </w:r>
      <w:r>
        <w:rPr>
          <w:b/>
          <w:bCs/>
        </w:rPr>
        <w:t xml:space="preserve">allowed but optional</w:t>
      </w:r>
      <w:r>
        <w:t xml:space="preserve">.</w:t>
      </w:r>
      <w:r>
        <w:t xml:space="preserve"> </w:t>
      </w:r>
      <w:r>
        <w:t xml:space="preserve">- Solid colors are the default.</w:t>
      </w:r>
      <w:r>
        <w:t xml:space="preserve"> </w:t>
      </w:r>
      <w:r>
        <w:t xml:space="preserve">- If used, gradients must follow these limits:</w:t>
      </w:r>
      <w:r>
        <w:t xml:space="preserve"> </w:t>
      </w:r>
      <w:r>
        <w:t xml:space="preserve">- Two color stops maximum</w:t>
      </w:r>
      <w:r>
        <w:t xml:space="preserve"> </w:t>
      </w:r>
      <w:r>
        <w:t xml:space="preserve">- Same hue family only</w:t>
      </w:r>
      <w:r>
        <w:t xml:space="preserve"> </w:t>
      </w:r>
      <w:r>
        <w:t xml:space="preserve">- Vertical or horizontal only</w:t>
      </w:r>
    </w:p>
    <w:bookmarkEnd w:id="31"/>
    <w:bookmarkStart w:id="32" w:name="branding-surfaces"/>
    <w:p>
      <w:pPr>
        <w:pStyle w:val="Heading3"/>
      </w:pPr>
      <w:r>
        <w:t xml:space="preserve">Branding Surfaces</w:t>
      </w:r>
    </w:p>
    <w:p>
      <w:pPr>
        <w:pStyle w:val="FirstParagraph"/>
      </w:pPr>
      <w:r>
        <w:t xml:space="preserve">Branding surfaces exist to represent the brand itself.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Logos</w:t>
      </w:r>
      <w:r>
        <w:t xml:space="preserve"> </w:t>
      </w:r>
      <w:r>
        <w:t xml:space="preserve">- Icons</w:t>
      </w:r>
      <w:r>
        <w:t xml:space="preserve"> </w:t>
      </w:r>
      <w:r>
        <w:t xml:space="preserve">- Avatars</w:t>
      </w:r>
      <w:r>
        <w:t xml:space="preserve"> </w:t>
      </w:r>
      <w:r>
        <w:t xml:space="preserve">- Profile images</w:t>
      </w:r>
    </w:p>
    <w:p>
      <w:pPr>
        <w:pStyle w:val="BodyText"/>
      </w:pPr>
      <w:r>
        <w:t xml:space="preserve">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gradients allowed</w:t>
      </w:r>
      <w:r>
        <w:t xml:space="preserve">.</w:t>
      </w:r>
      <w:r>
        <w:t xml:space="preserve"> </w:t>
      </w:r>
      <w:r>
        <w:t xml:space="preserve">- Solid colors only.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icons-thumbnails"/>
    <w:p>
      <w:pPr>
        <w:pStyle w:val="Heading2"/>
      </w:pPr>
      <w:r>
        <w:t xml:space="preserve">7. Icons &amp; Thumbnails</w:t>
      </w:r>
    </w:p>
    <w:p>
      <w:pPr>
        <w:pStyle w:val="Compact"/>
        <w:numPr>
          <w:ilvl w:val="0"/>
          <w:numId w:val="1008"/>
        </w:numPr>
      </w:pPr>
      <w:r>
        <w:t xml:space="preserve">Avoid gradients where possible.</w:t>
      </w:r>
    </w:p>
    <w:p>
      <w:pPr>
        <w:pStyle w:val="Compact"/>
        <w:numPr>
          <w:ilvl w:val="0"/>
          <w:numId w:val="1008"/>
        </w:numPr>
      </w:pPr>
      <w:r>
        <w:t xml:space="preserve">Must remain readable at</w:t>
      </w:r>
      <w:r>
        <w:t xml:space="preserve"> </w:t>
      </w:r>
      <w:r>
        <w:rPr>
          <w:b/>
          <w:bCs/>
        </w:rPr>
        <w:t xml:space="preserve">32×32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small text inside icons.</w:t>
      </w:r>
    </w:p>
    <w:p>
      <w:pPr>
        <w:pStyle w:val="Compact"/>
        <w:numPr>
          <w:ilvl w:val="0"/>
          <w:numId w:val="1008"/>
        </w:numPr>
      </w:pPr>
      <w:r>
        <w:t xml:space="preserve">Logo must not be the focal point.</w:t>
      </w:r>
    </w:p>
    <w:p>
      <w:r>
        <w:pict>
          <v:rect style="width:0;height:1.5pt" o:hralign="center" o:hrstd="t" o:hr="t"/>
        </w:pict>
      </w:r>
    </w:p>
    <w:bookmarkEnd w:id="34"/>
    <w:bookmarkStart w:id="37" w:name="do-dont-summary"/>
    <w:p>
      <w:pPr>
        <w:pStyle w:val="Heading2"/>
      </w:pPr>
      <w:r>
        <w:t xml:space="preserve">8. Do / Don’t Summary</w:t>
      </w:r>
    </w:p>
    <w:bookmarkStart w:id="35" w:name="do"/>
    <w:p>
      <w:pPr>
        <w:pStyle w:val="Heading3"/>
      </w:pPr>
      <w:r>
        <w:t xml:space="preserve">DO</w:t>
      </w:r>
    </w:p>
    <w:p>
      <w:pPr>
        <w:pStyle w:val="Compact"/>
        <w:numPr>
          <w:ilvl w:val="0"/>
          <w:numId w:val="1009"/>
        </w:numPr>
      </w:pPr>
      <w:r>
        <w:t xml:space="preserve">Use the logo exactly as-is.</w:t>
      </w:r>
    </w:p>
    <w:p>
      <w:pPr>
        <w:pStyle w:val="Compact"/>
        <w:numPr>
          <w:ilvl w:val="0"/>
          <w:numId w:val="1009"/>
        </w:numPr>
      </w:pPr>
      <w:r>
        <w:t xml:space="preserve">Keep logo bottom-left consistently.</w:t>
      </w:r>
    </w:p>
    <w:p>
      <w:pPr>
        <w:pStyle w:val="Compact"/>
        <w:numPr>
          <w:ilvl w:val="0"/>
          <w:numId w:val="1009"/>
        </w:numPr>
      </w:pPr>
      <w:r>
        <w:t xml:space="preserve">Use Inter Variable 4.0 Bold for labels.</w:t>
      </w:r>
    </w:p>
    <w:p>
      <w:pPr>
        <w:pStyle w:val="Compact"/>
        <w:numPr>
          <w:ilvl w:val="0"/>
          <w:numId w:val="1009"/>
        </w:numPr>
      </w:pPr>
      <w:r>
        <w:t xml:space="preserve">Use only approved color variants.</w:t>
      </w:r>
    </w:p>
    <w:p>
      <w:pPr>
        <w:pStyle w:val="Compact"/>
        <w:numPr>
          <w:ilvl w:val="0"/>
          <w:numId w:val="1009"/>
        </w:numPr>
      </w:pPr>
      <w:r>
        <w:t xml:space="preserve">Keep branding secondary.</w:t>
      </w:r>
    </w:p>
    <w:bookmarkEnd w:id="35"/>
    <w:bookmarkStart w:id="36" w:name="dont"/>
    <w:p>
      <w:pPr>
        <w:pStyle w:val="Heading3"/>
      </w:pPr>
      <w:r>
        <w:t xml:space="preserve">DON’T</w:t>
      </w:r>
    </w:p>
    <w:p>
      <w:pPr>
        <w:pStyle w:val="Compact"/>
        <w:numPr>
          <w:ilvl w:val="0"/>
          <w:numId w:val="1010"/>
        </w:numPr>
      </w:pPr>
      <w:r>
        <w:t xml:space="preserve">Don’t create sub-brands.</w:t>
      </w:r>
    </w:p>
    <w:p>
      <w:pPr>
        <w:pStyle w:val="Compact"/>
        <w:numPr>
          <w:ilvl w:val="0"/>
          <w:numId w:val="1010"/>
        </w:numPr>
      </w:pPr>
      <w:r>
        <w:t xml:space="preserve">Don’t add boxes or badges behind the logo.</w:t>
      </w:r>
    </w:p>
    <w:p>
      <w:pPr>
        <w:pStyle w:val="Compact"/>
        <w:numPr>
          <w:ilvl w:val="0"/>
          <w:numId w:val="1010"/>
        </w:numPr>
      </w:pPr>
      <w:r>
        <w:t xml:space="preserve">Don’t invent new colors.</w:t>
      </w:r>
    </w:p>
    <w:p>
      <w:pPr>
        <w:pStyle w:val="Compact"/>
        <w:numPr>
          <w:ilvl w:val="0"/>
          <w:numId w:val="1010"/>
        </w:numPr>
      </w:pPr>
      <w:r>
        <w:t xml:space="preserve">Don’t center the logo.</w:t>
      </w:r>
    </w:p>
    <w:p>
      <w:pPr>
        <w:pStyle w:val="Compact"/>
        <w:numPr>
          <w:ilvl w:val="0"/>
          <w:numId w:val="1010"/>
        </w:numPr>
      </w:pPr>
      <w:r>
        <w:t xml:space="preserve">Don’t let branding overpower content.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latforms-community"/>
    <w:p>
      <w:pPr>
        <w:pStyle w:val="Heading2"/>
      </w:pPr>
      <w:r>
        <w:t xml:space="preserve">9. Platforms &amp; Community</w:t>
      </w:r>
    </w:p>
    <w:p>
      <w:pPr>
        <w:pStyle w:val="Compact"/>
        <w:numPr>
          <w:ilvl w:val="0"/>
          <w:numId w:val="1011"/>
        </w:numPr>
      </w:pPr>
      <w:r>
        <w:t xml:space="preserve">All public accounts use the name</w:t>
      </w:r>
      <w:r>
        <w:t xml:space="preserve"> </w:t>
      </w:r>
      <w:r>
        <w:rPr>
          <w:b/>
          <w:bCs/>
        </w:rPr>
        <w:t xml:space="preserve">ShardGate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No alternate spellings or legacy names.</w:t>
      </w:r>
    </w:p>
    <w:p>
      <w:pPr>
        <w:pStyle w:val="Compact"/>
        <w:numPr>
          <w:ilvl w:val="0"/>
          <w:numId w:val="1011"/>
        </w:numPr>
      </w:pPr>
      <w:r>
        <w:t xml:space="preserve">Profile images use the logo mark only.</w:t>
      </w:r>
    </w:p>
    <w:p>
      <w:pPr>
        <w:pStyle w:val="Compact"/>
        <w:numPr>
          <w:ilvl w:val="0"/>
          <w:numId w:val="1011"/>
        </w:numPr>
      </w:pPr>
      <w:r>
        <w:t xml:space="preserve">No labels in usernames.</w:t>
      </w:r>
    </w:p>
    <w:p>
      <w:r>
        <w:pict>
          <v:rect style="width:0;height:1.5pt" o:hralign="center" o:hrstd="t" o:hr="t"/>
        </w:pict>
      </w:r>
    </w:p>
    <w:bookmarkEnd w:id="38"/>
    <w:bookmarkStart w:id="39" w:name="documentation-metadata"/>
    <w:p>
      <w:pPr>
        <w:pStyle w:val="Heading2"/>
      </w:pPr>
      <w:r>
        <w:t xml:space="preserve">10. Documentation &amp; Metadata</w:t>
      </w:r>
    </w:p>
    <w:p>
      <w:pPr>
        <w:pStyle w:val="Compact"/>
        <w:numPr>
          <w:ilvl w:val="0"/>
          <w:numId w:val="1012"/>
        </w:numPr>
      </w:pPr>
      <w:r>
        <w:t xml:space="preserve">Project descriptions use clear, neutral language.</w:t>
      </w:r>
    </w:p>
    <w:p>
      <w:pPr>
        <w:pStyle w:val="Compact"/>
        <w:numPr>
          <w:ilvl w:val="0"/>
          <w:numId w:val="1012"/>
        </w:numPr>
      </w:pPr>
      <w:r>
        <w:t xml:space="preserve">Category clarification uses plain text only (e.g. </w:t>
      </w:r>
      <w:r>
        <w:t xml:space="preserve">“Minecraft project”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No marketing language in technical documentation.</w:t>
      </w:r>
    </w:p>
    <w:p>
      <w:pPr>
        <w:pStyle w:val="Compact"/>
        <w:numPr>
          <w:ilvl w:val="0"/>
          <w:numId w:val="1012"/>
        </w:numPr>
      </w:pPr>
      <w:r>
        <w:t xml:space="preserve">README files identify ShardGate once at the top.</w:t>
      </w:r>
    </w:p>
    <w:p>
      <w:r>
        <w:pict>
          <v:rect style="width:0;height:1.5pt" o:hralign="center" o:hrstd="t" o:hr="t"/>
        </w:pict>
      </w:r>
    </w:p>
    <w:bookmarkEnd w:id="39"/>
    <w:bookmarkStart w:id="40" w:name="final-test"/>
    <w:p>
      <w:pPr>
        <w:pStyle w:val="Heading2"/>
      </w:pPr>
      <w:r>
        <w:t xml:space="preserve">11. Final Test</w:t>
      </w:r>
    </w:p>
    <w:p>
      <w:pPr>
        <w:pStyle w:val="FirstParagraph"/>
      </w:pPr>
      <w:r>
        <w:t xml:space="preserve">Remove the logo.</w:t>
      </w:r>
      <w:r>
        <w:br/>
      </w:r>
      <w:r>
        <w:t xml:space="preserve">If ShardGate identity disappears, the asset is correct.</w:t>
      </w:r>
      <w:r>
        <w:br/>
      </w:r>
      <w:r>
        <w:t xml:space="preserve">If it does not, the branding is too strong.</w:t>
      </w:r>
    </w:p>
    <w:p>
      <w:pPr>
        <w:pStyle w:val="BodyText"/>
      </w:pPr>
      <w:r>
        <w:t xml:space="preserve">No exceptions.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2025-12-15T09:17:09Z</dcterms:created>
  <dcterms:modified xsi:type="dcterms:W3CDTF">2025-12-15T09:17:09Z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