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Gewone gloeilampen hebben een gemiddelde levensduur van 1600 uur met een</w:t>
      </w:r>
      <w:r>
        <w:t xml:space="preserve"> </w:t>
      </w:r>
      <w:r>
        <w:t xml:space="preserve">standaarddeviatie van 100 uur. De gemiddelde levensduur van 100</w:t>
      </w:r>
      <w:r>
        <w:t xml:space="preserve"> </w:t>
      </w:r>
      <w:r>
        <w:t xml:space="preserve">willekeurig gekozen gloeilampen van merk X is 1800 uur. Wat is voor de</w:t>
      </w:r>
      <w:r>
        <w:t xml:space="preserve"> </w:t>
      </w:r>
      <w:r>
        <w:t xml:space="preserve">gloeilampen van merk X de effectgrootte uitgedrukt in Cohen’s d?</w:t>
      </w:r>
    </w:p>
    <w:p>
      <w:pPr>
        <w:numPr>
          <w:ilvl w:val="1"/>
          <w:numId w:val="1002"/>
        </w:numPr>
      </w:pPr>
      <m:oMath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.</w:t>
      </w:r>
    </w:p>
    <w:p>
      <w:pPr>
        <w:numPr>
          <w:ilvl w:val="1"/>
          <w:numId w:val="1002"/>
        </w:numPr>
      </w:pPr>
      <m:oMath>
        <m:r>
          <m:t>d</m:t>
        </m:r>
        <m:r>
          <m:rPr>
            <m:sty m:val="p"/>
          </m:rPr>
          <m:t>=</m:t>
        </m:r>
        <m:r>
          <m:t>0.2</m:t>
        </m:r>
      </m:oMath>
      <w:r>
        <w:t xml:space="preserve">.</w:t>
      </w:r>
    </w:p>
    <w:p>
      <w:pPr>
        <w:numPr>
          <w:ilvl w:val="1"/>
          <w:numId w:val="1002"/>
        </w:numPr>
      </w:pP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1"/>
          <w:numId w:val="1002"/>
        </w:numPr>
      </w:pPr>
      <m:oMath>
        <m:r>
          <m:t>d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2023-01-11T15:02:32Z</dcterms:created>
  <dcterms:modified xsi:type="dcterms:W3CDTF">2023-01-11T15:02:32Z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