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FCA" w:rsidRDefault="00D27FFA">
      <w:pPr>
        <w:pStyle w:val="Title"/>
        <w:jc w:val="center"/>
      </w:pPr>
      <w:r>
        <w:t>ICH M13C: Borderline Case-Study Scenario Framework</w:t>
      </w:r>
    </w:p>
    <w:p w:rsidR="00F51FCA" w:rsidRDefault="00D27FFA">
      <w:pPr>
        <w:jc w:val="center"/>
        <w:rPr>
          <w:rFonts w:hint="eastAsia"/>
        </w:rPr>
      </w:pPr>
      <w:r>
        <w:rPr>
          <w:b/>
          <w:color w:val="2F5597"/>
          <w:sz w:val="24"/>
        </w:rPr>
        <w:t>Highly variable drugs • Narrow therapeutic index drugs • Adaptive bioequivalence designs</w:t>
      </w:r>
    </w:p>
    <w:p w:rsidR="00F51FCA" w:rsidRDefault="00D27FFA">
      <w:pPr>
        <w:jc w:val="center"/>
        <w:rPr>
          <w:rFonts w:hint="eastAsia"/>
        </w:rPr>
      </w:pPr>
      <w:r>
        <w:rPr>
          <w:i/>
        </w:rPr>
        <w:t>Proposed simulation matrices for a pre-harmonization, case-based methodological review</w:t>
      </w:r>
    </w:p>
    <w:p w:rsidR="00F51FCA" w:rsidRDefault="00D27FFA">
      <w:pPr>
        <w:spacing w:before="320"/>
        <w:jc w:val="center"/>
        <w:rPr>
          <w:rFonts w:hint="eastAsia"/>
        </w:rPr>
      </w:pPr>
      <w:r>
        <w:t>Prepared 26 August 2026</w:t>
      </w:r>
    </w:p>
    <w:p w:rsidR="00F51FCA" w:rsidRDefault="00D27FFA">
      <w:pPr>
        <w:pStyle w:val="Heading1"/>
      </w:pPr>
      <w:r>
        <w:t>Executive recommendation</w:t>
      </w:r>
    </w:p>
    <w:p w:rsidR="00F51FCA" w:rsidRDefault="00D27FFA">
      <w:pPr>
        <w:pStyle w:val="Callout"/>
        <w:rPr>
          <w:rFonts w:hint="eastAsia"/>
        </w:rPr>
      </w:pPr>
      <w:r>
        <w:t>Use three scenario families per domain. Each family should vary one primary driver while holding the others controlled, then add one interaction scenario to explain why the methods disagree.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For HVDs, center the cases on the 30% sc</w:t>
      </w:r>
      <w:r>
        <w:t>aling switch, high-variability cap/point-estimate behavior, and test-versus-reference heteroscedasticity.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For NTIDs, center the cases on the tightened mean-ratio boundary, the test/reference within-subject variability ratio, and the interaction between mea</w:t>
      </w:r>
      <w:r>
        <w:t>n shift and relative variability.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For adaptive designs, center the cases on variance misspecification, Stage 1 mean-ratio behavior, and futility/maximum-sample-size rules.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 xml:space="preserve">Report both the deterministic reason for pass/fail and the repeated-study operating </w:t>
      </w:r>
      <w:r>
        <w:t>characteristic: probability of BE, false-positive probability at a prespecified null boundary, early-stop probability, and sample-size distribution as applicable.</w:t>
      </w:r>
    </w:p>
    <w:p w:rsidR="00F51FCA" w:rsidRDefault="00D27FFA">
      <w:pPr>
        <w:pStyle w:val="Heading1"/>
      </w:pPr>
      <w:r>
        <w:t>Important precision point: number of Monte Carlo replicates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240"/>
        <w:gridCol w:w="7200"/>
      </w:tblGrid>
      <w:tr w:rsidR="00F51FCA">
        <w:trPr>
          <w:tblHeader/>
          <w:jc w:val="center"/>
        </w:trPr>
        <w:tc>
          <w:tcPr>
            <w:tcW w:w="259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240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Suggested simulations per</w:t>
            </w:r>
            <w:r>
              <w:rPr>
                <w:b/>
                <w:color w:val="FFFFFF"/>
                <w:sz w:val="17"/>
              </w:rPr>
              <w:t xml:space="preserve"> design cell</w:t>
            </w:r>
          </w:p>
        </w:tc>
        <w:tc>
          <w:tcPr>
            <w:tcW w:w="7200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Rationale</w:t>
            </w:r>
          </w:p>
        </w:tc>
      </w:tr>
      <w:tr w:rsidR="00F51FCA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Pilot/debugging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500-1,000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Useful for checking code, direction of effects, and whether a scenario is informative.</w:t>
            </w:r>
          </w:p>
        </w:tc>
      </w:tr>
      <w:tr w:rsidR="00F51FCA">
        <w:trPr>
          <w:jc w:val="center"/>
        </w:trPr>
        <w:tc>
          <w:tcPr>
            <w:tcW w:w="259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Probability of BE / power</w:t>
            </w:r>
          </w:p>
        </w:tc>
        <w:tc>
          <w:tcPr>
            <w:tcW w:w="32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10,000 minimum; preferably 20,000-50,000</w:t>
            </w:r>
          </w:p>
        </w:tc>
        <w:tc>
          <w:tcPr>
            <w:tcW w:w="72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At p=0.50, 10,000 simulations give an approximate </w:t>
            </w:r>
            <w:r>
              <w:rPr>
                <w:sz w:val="17"/>
              </w:rPr>
              <w:t>Monte Carlo standard error of 0.5 percentage points.</w:t>
            </w:r>
          </w:p>
        </w:tc>
      </w:tr>
      <w:tr w:rsidR="00F51FCA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Type I error near 5%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100,000 minimum; 1,000,000 for close method comparisons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At p=0.05, 500 simulations have an approximate Monte Carlo standard error of 0.97 percentage points, which is too imprecise f</w:t>
            </w:r>
            <w:r>
              <w:rPr>
                <w:sz w:val="17"/>
              </w:rPr>
              <w:t>or claims about 5% control.</w:t>
            </w:r>
          </w:p>
        </w:tc>
      </w:tr>
    </w:tbl>
    <w:p w:rsidR="00F51FCA" w:rsidRDefault="00F51FCA">
      <w:pPr>
        <w:spacing w:after="40"/>
        <w:rPr>
          <w:rFonts w:hint="eastAsia"/>
        </w:rPr>
      </w:pPr>
    </w:p>
    <w:p w:rsidR="00F51FCA" w:rsidRDefault="00D27FFA">
      <w:pPr>
        <w:rPr>
          <w:rFonts w:hint="eastAsia"/>
        </w:rPr>
      </w:pPr>
      <w:r>
        <w:rPr>
          <w:b/>
        </w:rPr>
        <w:t xml:space="preserve">Recommendation: </w:t>
      </w:r>
      <w:r>
        <w:t>Your proposed 200-500 replicates are acceptable only for pilot exploration. For the manuscript, use at least 10,000 replicates for probability-of-BE surfaces and at least 100,000 at the null boundary for Type I</w:t>
      </w:r>
      <w:r>
        <w:t xml:space="preserve"> error evaluation.</w:t>
      </w:r>
    </w:p>
    <w:p w:rsidR="00F51FCA" w:rsidRDefault="00D27FFA">
      <w:pPr>
        <w:pStyle w:val="Heading1"/>
      </w:pPr>
      <w:r>
        <w:t>Common simulation conventions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10296"/>
      </w:tblGrid>
      <w:tr w:rsidR="00F51FCA">
        <w:trPr>
          <w:tblHeader/>
          <w:jc w:val="center"/>
        </w:trPr>
        <w:tc>
          <w:tcPr>
            <w:tcW w:w="2736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10296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Recommended convention</w:t>
            </w:r>
          </w:p>
        </w:tc>
      </w:tr>
      <w:tr w:rsidR="00F51FCA">
        <w:trPr>
          <w:jc w:val="center"/>
        </w:trPr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PK endpoint</w:t>
            </w:r>
          </w:p>
        </w:tc>
        <w:tc>
          <w:tcPr>
            <w:tcW w:w="10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Analyze one log-transformed endpoint at a time. Use Cmax as the primary HVD illustration because EMA scaling is commonly discussed for Cmax; include AUC as a sensi</w:t>
            </w:r>
            <w:r>
              <w:rPr>
                <w:sz w:val="17"/>
              </w:rPr>
              <w:t>tivity analysis where appropriate.</w:t>
            </w:r>
          </w:p>
        </w:tc>
      </w:tr>
      <w:tr w:rsidR="00F51FCA">
        <w:trPr>
          <w:jc w:val="center"/>
        </w:trPr>
        <w:tc>
          <w:tcPr>
            <w:tcW w:w="27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Data scale</w:t>
            </w:r>
          </w:p>
        </w:tc>
        <w:tc>
          <w:tcPr>
            <w:tcW w:w="102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Simulate log-normal PK metrics using ln(GMR) as the treatment effect and convert CV to log-SD using sqrt[ln(1+CV²)].</w:t>
            </w:r>
          </w:p>
        </w:tc>
      </w:tr>
      <w:tr w:rsidR="00F51FCA">
        <w:trPr>
          <w:jc w:val="center"/>
        </w:trPr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Designs</w:t>
            </w:r>
          </w:p>
        </w:tc>
        <w:tc>
          <w:tcPr>
            <w:tcW w:w="10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 xml:space="preserve">HVD: three-period partial replicate and/or four-period full replicate. NTID: </w:t>
            </w:r>
            <w:r>
              <w:rPr>
                <w:sz w:val="17"/>
              </w:rPr>
              <w:t>four-period full replicate to estimate CVwT and CVwR separately. Adaptive: 2×2 crossover within each stage.</w:t>
            </w:r>
          </w:p>
        </w:tc>
      </w:tr>
      <w:tr w:rsidR="00F51FCA">
        <w:trPr>
          <w:jc w:val="center"/>
        </w:trPr>
        <w:tc>
          <w:tcPr>
            <w:tcW w:w="27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Sample-size convention</w:t>
            </w:r>
          </w:p>
        </w:tc>
        <w:tc>
          <w:tcPr>
            <w:tcW w:w="102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Use completers as the analysis n. Restrict totals to valid sequence balance and clearly document rounding.</w:t>
            </w:r>
          </w:p>
        </w:tc>
      </w:tr>
      <w:tr w:rsidR="00F51FCA">
        <w:trPr>
          <w:jc w:val="center"/>
        </w:trPr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Outputs</w:t>
            </w:r>
          </w:p>
        </w:tc>
        <w:tc>
          <w:tcPr>
            <w:tcW w:w="10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Probabil</w:t>
            </w:r>
            <w:r>
              <w:rPr>
                <w:sz w:val="17"/>
              </w:rPr>
              <w:t>ity of BE; reason for failure; empirical Type I error at the selected null boundary; power under equivalence; method concordance; and Monte Carlo uncertainty.</w:t>
            </w:r>
          </w:p>
        </w:tc>
      </w:tr>
      <w:tr w:rsidR="00F51FCA">
        <w:trPr>
          <w:jc w:val="center"/>
        </w:trPr>
        <w:tc>
          <w:tcPr>
            <w:tcW w:w="27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Seeds and reproducibility</w:t>
            </w:r>
          </w:p>
        </w:tc>
        <w:tc>
          <w:tcPr>
            <w:tcW w:w="1029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 xml:space="preserve">Use fixed master seeds plus scenario-specific sub-seeds. Provide code </w:t>
            </w:r>
            <w:r>
              <w:rPr>
                <w:sz w:val="17"/>
              </w:rPr>
              <w:t>and a machine-readable scenario grid as supplementary material.</w:t>
            </w:r>
          </w:p>
        </w:tc>
      </w:tr>
    </w:tbl>
    <w:p w:rsidR="00F51FCA" w:rsidRDefault="00F51FCA">
      <w:pPr>
        <w:spacing w:after="40"/>
        <w:rPr>
          <w:rFonts w:hint="eastAsia"/>
        </w:rPr>
      </w:pPr>
    </w:p>
    <w:p w:rsidR="00F51FCA" w:rsidRDefault="00D27FFA">
      <w:pPr>
        <w:rPr>
          <w:rFonts w:hint="eastAsia"/>
        </w:rPr>
      </w:pPr>
      <w:r>
        <w:lastRenderedPageBreak/>
        <w:br w:type="page"/>
      </w:r>
    </w:p>
    <w:p w:rsidR="00F51FCA" w:rsidRDefault="00D27FFA">
      <w:pPr>
        <w:pStyle w:val="Heading1"/>
      </w:pPr>
      <w:r>
        <w:lastRenderedPageBreak/>
        <w:t>1. Highly variable drugs and drug products</w:t>
      </w:r>
    </w:p>
    <w:p w:rsidR="00F51FCA" w:rsidRDefault="00D27FFA">
      <w:pPr>
        <w:rPr>
          <w:rFonts w:hint="eastAsia"/>
        </w:rPr>
      </w:pPr>
      <w:r>
        <w:rPr>
          <w:b/>
        </w:rPr>
        <w:t xml:space="preserve">Literature basis. </w:t>
      </w:r>
      <w:r>
        <w:t xml:space="preserve">Published FDA-EMA comparisons have evaluated BE acceptance as a function of GMR, sample size, and within-subject variability, </w:t>
      </w:r>
      <w:r>
        <w:t>and have highlighted divergence at high variability and near switching regions. Consumer-risk publications further motivate explicit null-boundary simulations and alpha-adjusted alternatives.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1872"/>
        <w:gridCol w:w="3744"/>
        <w:gridCol w:w="2520"/>
        <w:gridCol w:w="3528"/>
      </w:tblGrid>
      <w:tr w:rsidR="00F51FCA">
        <w:trPr>
          <w:tblHeader/>
          <w:jc w:val="center"/>
        </w:trPr>
        <w:tc>
          <w:tcPr>
            <w:tcW w:w="2088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and purpose</w:t>
            </w:r>
          </w:p>
        </w:tc>
        <w:tc>
          <w:tcPr>
            <w:tcW w:w="187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Core fixed design</w:t>
            </w:r>
          </w:p>
        </w:tc>
        <w:tc>
          <w:tcPr>
            <w:tcW w:w="3744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Factorial scenario grid</w:t>
            </w:r>
          </w:p>
        </w:tc>
        <w:tc>
          <w:tcPr>
            <w:tcW w:w="2520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Methods</w:t>
            </w:r>
            <w:r>
              <w:rPr>
                <w:b/>
                <w:color w:val="FFFFFF"/>
                <w:sz w:val="15"/>
              </w:rPr>
              <w:t xml:space="preserve"> to compare</w:t>
            </w:r>
          </w:p>
        </w:tc>
        <w:tc>
          <w:tcPr>
            <w:tcW w:w="3528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Primary interpretation</w:t>
            </w:r>
          </w:p>
        </w:tc>
      </w:tr>
      <w:tr w:rsidR="00F51FCA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HVD-1: Scaling-switch zone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3-period partial replicate; n = 24, 36, 48 completers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CVwR = 25%, 30%, 35%; true GMR = 0.80, 0.85, 0.90, 0.95, 1.00. Optional fine grid: CVwR 27.5%-32.5% by 1%.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Conventional ABE; FDA RSABE; EMA</w:t>
            </w:r>
            <w:r>
              <w:rPr>
                <w:sz w:val="15"/>
              </w:rPr>
              <w:t xml:space="preserve"> ABEL; one alpha-adjusted/scaled alternative.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Shows misclassification around observed CVwR = 30%, when scaling turns on/off; separates boundary TIE from power under near-equivalent GMRs.</w:t>
            </w:r>
          </w:p>
        </w:tc>
      </w:tr>
      <w:tr w:rsidR="00F51FCA">
        <w:trPr>
          <w:jc w:val="center"/>
        </w:trPr>
        <w:tc>
          <w:tcPr>
            <w:tcW w:w="20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HVD-2: High variability, cap and point-estimate safeguard</w:t>
            </w:r>
          </w:p>
        </w:tc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3-period p</w:t>
            </w:r>
            <w:r>
              <w:rPr>
                <w:sz w:val="15"/>
              </w:rPr>
              <w:t>artial replicate; n = 24, 36, 48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CVwR = 40%, 50%, 60%; true GMR = 0.75, 0.80, 0.85, 0.90, 0.95.</w:t>
            </w:r>
          </w:p>
        </w:tc>
        <w:tc>
          <w:tcPr>
            <w:tcW w:w="25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FDA RSABE; EMA ABEL; fixed widened limits as a literature comparator; alpha-adjusted versions if selected.</w:t>
            </w:r>
          </w:p>
        </w:tc>
        <w:tc>
          <w:tcPr>
            <w:tcW w:w="35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Identifies cases where scaled criterion passes but po</w:t>
            </w:r>
            <w:r>
              <w:rPr>
                <w:sz w:val="15"/>
              </w:rPr>
              <w:t>int-estimate constraint/capped expansion drives failure, and where FDA/EMA decisions diverge.</w:t>
            </w:r>
          </w:p>
        </w:tc>
      </w:tr>
      <w:tr w:rsidR="00F51FCA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HVD-3: Test-reference heteroscedasticity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4-period full replicate; n = 24, 36, 48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 xml:space="preserve">Fix CVwR = 40%; set CVwT/CVwR = 0.75, 1.00, 1.25, 1.50; true GMR = 0.90, 0.95, </w:t>
            </w:r>
            <w:r>
              <w:rPr>
                <w:sz w:val="15"/>
              </w:rPr>
              <w:t>1.00. Sensitivity: CVwR = 30%, 50%.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FDA RSABE; EMA ABEL; conventional ABE; selected TIE-controlled alternative.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Explains why scaling on reference variability may behave differently when test variability is lower or higher. Full replication permits separate</w:t>
            </w:r>
            <w:r>
              <w:rPr>
                <w:sz w:val="15"/>
              </w:rPr>
              <w:t xml:space="preserve"> variance estimation.</w:t>
            </w:r>
          </w:p>
        </w:tc>
      </w:tr>
    </w:tbl>
    <w:p w:rsidR="00F51FCA" w:rsidRDefault="00F51FCA">
      <w:pPr>
        <w:spacing w:after="40"/>
        <w:rPr>
          <w:rFonts w:hint="eastAsia"/>
        </w:rPr>
      </w:pPr>
    </w:p>
    <w:p w:rsidR="00F51FCA" w:rsidRDefault="00D27FFA">
      <w:pPr>
        <w:pStyle w:val="Heading2"/>
      </w:pPr>
      <w:r>
        <w:t>Recommended HVD case-study narratives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Case HVD-A, threshold discordance: GMR 0.85, CVwR 30%, n 36. Explain whether observed CVwR activated scaling, whether the scaled criterion passed, and whether the point estimate remained accepta</w:t>
      </w:r>
      <w:r>
        <w:t>ble.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Case HVD-B, high-CV safeguard: GMR 0.78-0.80, CVwR 50%-60%, n 36. This should make the point-estimate constraint and EMA cap visible rather than discussing only the scaled confidence limit.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Case HVD-C, heteroscedastic product: GMR 0.95, CVwR 40%, CVwT</w:t>
      </w:r>
      <w:r>
        <w:t xml:space="preserve"> 60% (1.5×), n 36. Compare the apparent mean-equivalence result with the consequences of excess test variability and the chosen covariance model.</w:t>
      </w:r>
    </w:p>
    <w:p w:rsidR="00F51FCA" w:rsidRDefault="00D27FFA">
      <w:pPr>
        <w:rPr>
          <w:rFonts w:hint="eastAsia"/>
        </w:rPr>
      </w:pPr>
      <w:r>
        <w:br w:type="page"/>
      </w:r>
    </w:p>
    <w:p w:rsidR="00F51FCA" w:rsidRDefault="00D27FFA">
      <w:pPr>
        <w:pStyle w:val="Heading1"/>
      </w:pPr>
      <w:r>
        <w:t>2. Narrow therapeutic index drugs</w:t>
      </w:r>
    </w:p>
    <w:p w:rsidR="00F51FCA" w:rsidRDefault="00D27FFA">
      <w:pPr>
        <w:rPr>
          <w:rFonts w:hint="eastAsia"/>
        </w:rPr>
      </w:pPr>
      <w:r>
        <w:rPr>
          <w:b/>
        </w:rPr>
        <w:t xml:space="preserve">Literature basis. </w:t>
      </w:r>
      <w:r>
        <w:t>The key regional contrast is not merely 90.00%-111.11% v</w:t>
      </w:r>
      <w:r>
        <w:t xml:space="preserve">ersus a reference-scaled mean criterion. FDA-style assessment is component-wise and can include conventional ABE and a test/reference within-subject variability comparison. Therefore, the case studies should reveal which component, not simply which agency </w:t>
      </w:r>
      <w:r>
        <w:t>label, drives the decision.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1872"/>
        <w:gridCol w:w="3744"/>
        <w:gridCol w:w="2520"/>
        <w:gridCol w:w="3528"/>
      </w:tblGrid>
      <w:tr w:rsidR="00F51FCA">
        <w:trPr>
          <w:tblHeader/>
          <w:jc w:val="center"/>
        </w:trPr>
        <w:tc>
          <w:tcPr>
            <w:tcW w:w="2088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and purpose</w:t>
            </w:r>
          </w:p>
        </w:tc>
        <w:tc>
          <w:tcPr>
            <w:tcW w:w="187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Core fixed design</w:t>
            </w:r>
          </w:p>
        </w:tc>
        <w:tc>
          <w:tcPr>
            <w:tcW w:w="3744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Factorial scenario grid</w:t>
            </w:r>
          </w:p>
        </w:tc>
        <w:tc>
          <w:tcPr>
            <w:tcW w:w="2520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Methods to compare</w:t>
            </w:r>
          </w:p>
        </w:tc>
        <w:tc>
          <w:tcPr>
            <w:tcW w:w="3528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Primary interpretation</w:t>
            </w:r>
          </w:p>
        </w:tc>
      </w:tr>
      <w:tr w:rsidR="00F51FCA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NTID-1: Mean-ratio boundary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4-period full replicate; n = 24, 36, 48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 xml:space="preserve">CVwR = CVwT = 10%, 15%, 20%; true GMR = 0.89, 0.90, 0.925, </w:t>
            </w:r>
            <w:r>
              <w:rPr>
                <w:sz w:val="15"/>
              </w:rPr>
              <w:t>0.95, 1.00, plus reciprocal upper-side values.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EMA fixed tightened ABE; FDA NTID component criteria; Paixão-type variability-dependent/two-way alternative.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Maps where fixed tightened limits and reference-scaled criteria disagree as reference variability ch</w:t>
            </w:r>
            <w:r>
              <w:rPr>
                <w:sz w:val="15"/>
              </w:rPr>
              <w:t>anges.</w:t>
            </w:r>
          </w:p>
        </w:tc>
      </w:tr>
      <w:tr w:rsidR="00F51FCA">
        <w:trPr>
          <w:jc w:val="center"/>
        </w:trPr>
        <w:tc>
          <w:tcPr>
            <w:tcW w:w="20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NTID-2: Relative variability challenge</w:t>
            </w:r>
          </w:p>
        </w:tc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4-period full replicate; n = 24, 36, 48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Fix CVwR = 15%; CVwT/CVwR = 0.75, 1.00, 1.25, 1.50; true GMR = 0.95 and 1.00. Sensitivity at CVwR = 10% and 20%.</w:t>
            </w:r>
          </w:p>
        </w:tc>
        <w:tc>
          <w:tcPr>
            <w:tcW w:w="25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 xml:space="preserve">FDA complete NTID rule; EMA fixed tightened limits; </w:t>
            </w:r>
            <w:r>
              <w:rPr>
                <w:sz w:val="15"/>
              </w:rPr>
              <w:t>alternative without and with explicit variability protection.</w:t>
            </w:r>
          </w:p>
        </w:tc>
        <w:tc>
          <w:tcPr>
            <w:tcW w:w="35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Direct analogue of your multiplicity framework: hold R constant and set T variability to 0.75×, 1×, 1.25×, and 1.5×. Isolates failures caused by the variability-ratio component.</w:t>
            </w:r>
          </w:p>
        </w:tc>
      </w:tr>
      <w:tr w:rsidR="00F51FCA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NTID-3: Mean-va</w:t>
            </w:r>
            <w:r>
              <w:rPr>
                <w:sz w:val="15"/>
              </w:rPr>
              <w:t>riance trade-off and regulatory discordance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4-period full replicate; n = 24, 36, 48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CVwR = 10%, 20%, 30%; CVwT/CVwR = 1.00, 1.25, 1.50; true GMR = 0.90, 0.925, 0.95.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EMA fixed tightened ABE; FDA full criterion; selected mixed-scale/two-way alternative.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Shows that a good GMR can still fail because test variability is excessive, while a poorer GMR may fail the fixed limit even when variability is acceptable.</w:t>
            </w:r>
          </w:p>
        </w:tc>
      </w:tr>
    </w:tbl>
    <w:p w:rsidR="00F51FCA" w:rsidRDefault="00F51FCA">
      <w:pPr>
        <w:spacing w:after="40"/>
        <w:rPr>
          <w:rFonts w:hint="eastAsia"/>
        </w:rPr>
      </w:pPr>
    </w:p>
    <w:p w:rsidR="00F51FCA" w:rsidRDefault="00D27FFA">
      <w:pPr>
        <w:pStyle w:val="Heading2"/>
      </w:pPr>
      <w:r>
        <w:t>Recommended NTID case-study narratives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Case NTID-A, fixed-limit edge: GMR 0.90, CVwR = CVwT = 15%</w:t>
      </w:r>
      <w:r>
        <w:t>, n 36. Attribute failure to the CI relative to the tightened interval versus any scaled-mean criterion.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Case NTID-B, variability-only failure: GMR 1.00, CVwR 15%, CVwT 22.5% (1.5×), n 36. This is the clearest practical demonstration that an ideal mean rat</w:t>
      </w:r>
      <w:r>
        <w:t>io does not guarantee FDA-style NTID acceptance.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Case NTID-C, competing disadvantages: GMR 0.925, CVwR 20%, CVwT 25% (1.25×), n 36. Use component-wise pass/fail to show whether mean or relative variability is decisive.</w:t>
      </w:r>
    </w:p>
    <w:p w:rsidR="00F51FCA" w:rsidRDefault="00D27FFA">
      <w:pPr>
        <w:pStyle w:val="Callout"/>
        <w:rPr>
          <w:rFonts w:hint="eastAsia"/>
        </w:rPr>
      </w:pPr>
      <w:r>
        <w:t>For NTIDs, calculate overall probabil</w:t>
      </w:r>
      <w:r>
        <w:t>ity of BE and the probability that each individual component fails. Because the criteria are correlated, the component failure percentages will not sum to the overall failure percentage.</w:t>
      </w:r>
    </w:p>
    <w:p w:rsidR="00F51FCA" w:rsidRDefault="00D27FFA">
      <w:pPr>
        <w:rPr>
          <w:rFonts w:hint="eastAsia"/>
        </w:rPr>
      </w:pPr>
      <w:r>
        <w:br w:type="page"/>
      </w:r>
    </w:p>
    <w:p w:rsidR="00F51FCA" w:rsidRDefault="00D27FFA">
      <w:pPr>
        <w:pStyle w:val="Heading1"/>
      </w:pPr>
      <w:r>
        <w:t>3. Adaptive and two-stage BE designs</w:t>
      </w:r>
    </w:p>
    <w:p w:rsidR="00F51FCA" w:rsidRDefault="00D27FFA">
      <w:pPr>
        <w:rPr>
          <w:rFonts w:hint="eastAsia"/>
        </w:rPr>
      </w:pPr>
      <w:r>
        <w:rPr>
          <w:b/>
        </w:rPr>
        <w:t xml:space="preserve">Literature basis. </w:t>
      </w:r>
      <w:r>
        <w:t xml:space="preserve">Potvin-type </w:t>
      </w:r>
      <w:r>
        <w:t>procedures and later modifications show that Stage 1 size, assumed GMR, target power, alpha allocation, futility, maximum total sample size, and use of the Stage 1 point estimate are inferential inputs. The scenarios below vary those inputs transparently r</w:t>
      </w:r>
      <w:r>
        <w:t>ather than presenting one adaptive algorithm as universally preferred.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1872"/>
        <w:gridCol w:w="3744"/>
        <w:gridCol w:w="2520"/>
        <w:gridCol w:w="3528"/>
      </w:tblGrid>
      <w:tr w:rsidR="00F51FCA">
        <w:trPr>
          <w:tblHeader/>
          <w:jc w:val="center"/>
        </w:trPr>
        <w:tc>
          <w:tcPr>
            <w:tcW w:w="2088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ID and purpose</w:t>
            </w:r>
          </w:p>
        </w:tc>
        <w:tc>
          <w:tcPr>
            <w:tcW w:w="187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Core fixed design</w:t>
            </w:r>
          </w:p>
        </w:tc>
        <w:tc>
          <w:tcPr>
            <w:tcW w:w="3744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Factorial scenario grid</w:t>
            </w:r>
          </w:p>
        </w:tc>
        <w:tc>
          <w:tcPr>
            <w:tcW w:w="2520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Methods to compare</w:t>
            </w:r>
          </w:p>
        </w:tc>
        <w:tc>
          <w:tcPr>
            <w:tcW w:w="3528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Primary interpretation</w:t>
            </w:r>
          </w:p>
        </w:tc>
      </w:tr>
      <w:tr w:rsidR="00F51FCA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AD-1: Variance misspecification and rescue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 xml:space="preserve">Two-stage 2×2 crossover; Stage 1 n1 = 12, </w:t>
            </w:r>
            <w:r>
              <w:rPr>
                <w:sz w:val="15"/>
              </w:rPr>
              <w:t>18, 24; target power 80%; Nmax = 60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True CV = 20%, 30%, 40%, 50%; true GMR = 0.95 and 1.00. Plan a fixed design at CV = 20% or 25%.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Fixed one-stage; Potvin B; Potvin C; Potvin D/selected alpha-adjusted modification.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Quantifies probability of early success,</w:t>
            </w:r>
            <w:r>
              <w:rPr>
                <w:sz w:val="15"/>
              </w:rPr>
              <w:t xml:space="preserve"> continuation, ultimate BE, and sample-size rescue when true variability exceeds planning assumptions.</w:t>
            </w:r>
          </w:p>
        </w:tc>
      </w:tr>
      <w:tr w:rsidR="00F51FCA">
        <w:trPr>
          <w:jc w:val="center"/>
        </w:trPr>
        <w:tc>
          <w:tcPr>
            <w:tcW w:w="20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AD-2: Stage 1 point estimate and sample-size re-estimation</w:t>
            </w:r>
          </w:p>
        </w:tc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Two-stage 2×2; n1 = 18 or 24; CV = 25% and 35%; Nmax = 60</w:t>
            </w:r>
          </w:p>
        </w:tc>
        <w:tc>
          <w:tcPr>
            <w:tcW w:w="37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 xml:space="preserve">True GMR = 0.90, 0.95, 1.00. </w:t>
            </w:r>
            <w:r>
              <w:rPr>
                <w:sz w:val="15"/>
              </w:rPr>
              <w:t>Re-estimate Stage 2 using fixed planning GMR 0.95 versus observed Stage 1 point estimate.</w:t>
            </w:r>
          </w:p>
        </w:tc>
        <w:tc>
          <w:tcPr>
            <w:tcW w:w="25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Potvin B/C; usePE = FALSE versus TRUE; optional inverse-normal combination method.</w:t>
            </w:r>
          </w:p>
        </w:tc>
        <w:tc>
          <w:tcPr>
            <w:tcW w:w="35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Shows how an unfavorable but noisy Stage 1 estimate can trigger a very large N, fut</w:t>
            </w:r>
            <w:r>
              <w:rPr>
                <w:sz w:val="15"/>
              </w:rPr>
              <w:t>ility, or conditional-power loss; contrasts stability against responsiveness.</w:t>
            </w:r>
          </w:p>
        </w:tc>
      </w:tr>
      <w:tr w:rsidR="00F51FCA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AD-3: Futility, Nmax, and Type I error boundary</w:t>
            </w:r>
          </w:p>
        </w:tc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Two-stage 2×2; n1 = 12, 18, 24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 xml:space="preserve">For power: true GMR = 0.90, 0.95, 1.00; CV = 20%, 30%, 40%. For TIE: set true GMR exactly at 0.80 </w:t>
            </w:r>
            <w:r>
              <w:rPr>
                <w:sz w:val="15"/>
              </w:rPr>
              <w:t>and 1.25. Compare Nmax = 42, 60, infinity; optional point-estimate/CI futility boundaries.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Potvin B/C/D; selected Xu E/F or inverse-normal procedure if included; fixed design comparator.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 xml:space="preserve">Separates ethical/operational futility from inferential consequences </w:t>
            </w:r>
            <w:r>
              <w:rPr>
                <w:sz w:val="15"/>
              </w:rPr>
              <w:t>and evaluates empirical TIE at the equivalence boundary.</w:t>
            </w:r>
          </w:p>
        </w:tc>
      </w:tr>
    </w:tbl>
    <w:p w:rsidR="00F51FCA" w:rsidRDefault="00F51FCA">
      <w:pPr>
        <w:spacing w:after="40"/>
        <w:rPr>
          <w:rFonts w:hint="eastAsia"/>
        </w:rPr>
      </w:pPr>
    </w:p>
    <w:p w:rsidR="00F51FCA" w:rsidRDefault="00D27FFA">
      <w:pPr>
        <w:pStyle w:val="Heading2"/>
      </w:pPr>
      <w:r>
        <w:t>Recommended adaptive case-study narratives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Case AD-A, underplanned variability: n1 18, true CV 40%, true GMR 0.95, Nmax 60. Compare a failed/underpowered fixed design with adaptive continuation and</w:t>
      </w:r>
      <w:r>
        <w:t xml:space="preserve"> eventual success probability.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Case AD-B, unfavorable Stage 1 estimate: n1 18, true CV 25%, true GMR 0.95. Contrast re-estimation with a fixed planning GMR versus the observed Stage 1 estimate; report futility and upper-tail total sample size.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Case AD-C, c</w:t>
      </w:r>
      <w:r>
        <w:t>onsumer-risk stress test: true GMR 0.80 (and reciprocal 1.25), CV 20%, 30%, 40%, n1 12 and 24. Use at least 100,000 simulations per cell and report Monte Carlo confidence intervals around empirical TIE.</w:t>
      </w:r>
    </w:p>
    <w:p w:rsidR="00F51FCA" w:rsidRDefault="00D27FFA">
      <w:pPr>
        <w:rPr>
          <w:rFonts w:hint="eastAsia"/>
        </w:rPr>
      </w:pPr>
      <w:r>
        <w:br w:type="page"/>
      </w:r>
    </w:p>
    <w:p w:rsidR="00F51FCA" w:rsidRDefault="00D27FFA">
      <w:pPr>
        <w:pStyle w:val="Heading1"/>
      </w:pPr>
      <w:r>
        <w:t>4. Compact master matrix for the manuscript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944"/>
        <w:gridCol w:w="2232"/>
        <w:gridCol w:w="2016"/>
        <w:gridCol w:w="2232"/>
        <w:gridCol w:w="3384"/>
      </w:tblGrid>
      <w:tr w:rsidR="00F51FCA">
        <w:trPr>
          <w:tblHeader/>
          <w:jc w:val="center"/>
        </w:trPr>
        <w:tc>
          <w:tcPr>
            <w:tcW w:w="115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w="1944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Scenario family</w:t>
            </w:r>
          </w:p>
        </w:tc>
        <w:tc>
          <w:tcPr>
            <w:tcW w:w="223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Primary x-axis</w:t>
            </w:r>
          </w:p>
        </w:tc>
        <w:tc>
          <w:tcPr>
            <w:tcW w:w="2016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Stratification</w:t>
            </w:r>
          </w:p>
        </w:tc>
        <w:tc>
          <w:tcPr>
            <w:tcW w:w="223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Main outcome</w:t>
            </w:r>
          </w:p>
        </w:tc>
        <w:tc>
          <w:tcPr>
            <w:tcW w:w="3384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Expected manuscript figure</w:t>
            </w:r>
          </w:p>
        </w:tc>
      </w:tr>
      <w:tr w:rsidR="00F51FCA">
        <w:trPr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HVD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Scaling switch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CVwR 25%-35%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GMR and n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Probability of BE; TIE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Decision surface around 30% switch</w:t>
            </w:r>
          </w:p>
        </w:tc>
      </w:tr>
      <w:tr w:rsidR="00F51FCA">
        <w:trPr>
          <w:jc w:val="center"/>
        </w:trPr>
        <w:tc>
          <w:tcPr>
            <w:tcW w:w="1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HVD</w:t>
            </w:r>
          </w:p>
        </w:tc>
        <w:tc>
          <w:tcPr>
            <w:tcW w:w="19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High-CV safeguard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GMR 0.75-0.95</w:t>
            </w:r>
          </w:p>
        </w:tc>
        <w:tc>
          <w:tcPr>
            <w:tcW w:w="20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CVwR and n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Pass/fail driver</w:t>
            </w:r>
          </w:p>
        </w:tc>
        <w:tc>
          <w:tcPr>
            <w:tcW w:w="33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 xml:space="preserve">FDA </w:t>
            </w:r>
            <w:r>
              <w:rPr>
                <w:sz w:val="15"/>
              </w:rPr>
              <w:t>vs EMA discordance map</w:t>
            </w:r>
          </w:p>
        </w:tc>
      </w:tr>
      <w:tr w:rsidR="00F51FCA">
        <w:trPr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HVD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Heteroscedasticity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CVwT/CVwR 0.75-1.50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GMR and CVwR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Probability of BE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Small-multiple curves by variability ratio</w:t>
            </w:r>
          </w:p>
        </w:tc>
      </w:tr>
      <w:tr w:rsidR="00F51FCA">
        <w:trPr>
          <w:jc w:val="center"/>
        </w:trPr>
        <w:tc>
          <w:tcPr>
            <w:tcW w:w="1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NTID</w:t>
            </w:r>
          </w:p>
        </w:tc>
        <w:tc>
          <w:tcPr>
            <w:tcW w:w="19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Mean boundary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GMR 0.89-1.00</w:t>
            </w:r>
          </w:p>
        </w:tc>
        <w:tc>
          <w:tcPr>
            <w:tcW w:w="20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CVwR and n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Probability of BE</w:t>
            </w:r>
          </w:p>
        </w:tc>
        <w:tc>
          <w:tcPr>
            <w:tcW w:w="33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Method-specific boundary curves</w:t>
            </w:r>
          </w:p>
        </w:tc>
      </w:tr>
      <w:tr w:rsidR="00F51FCA">
        <w:trPr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NTID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 xml:space="preserve">Relative </w:t>
            </w:r>
            <w:r>
              <w:rPr>
                <w:sz w:val="15"/>
              </w:rPr>
              <w:t>variability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CVwT/CVwR 0.75-1.50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GMR and n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Component failure probabilities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Stacked or panelled failure attribution</w:t>
            </w:r>
          </w:p>
        </w:tc>
      </w:tr>
      <w:tr w:rsidR="00F51FCA">
        <w:trPr>
          <w:jc w:val="center"/>
        </w:trPr>
        <w:tc>
          <w:tcPr>
            <w:tcW w:w="1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NTID</w:t>
            </w:r>
          </w:p>
        </w:tc>
        <w:tc>
          <w:tcPr>
            <w:tcW w:w="19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Mean-variance trade-off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GMR × variability ratio</w:t>
            </w:r>
          </w:p>
        </w:tc>
        <w:tc>
          <w:tcPr>
            <w:tcW w:w="20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CVwR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Concordance classification</w:t>
            </w:r>
          </w:p>
        </w:tc>
        <w:tc>
          <w:tcPr>
            <w:tcW w:w="33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Decision map</w:t>
            </w:r>
          </w:p>
        </w:tc>
      </w:tr>
      <w:tr w:rsidR="00F51FCA">
        <w:trPr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Adaptive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Variance rescue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True CV 20%-50%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n1 and true GMR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BE, early stop, expected N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Operating-characteristic panels</w:t>
            </w:r>
          </w:p>
        </w:tc>
      </w:tr>
      <w:tr w:rsidR="00F51FCA">
        <w:trPr>
          <w:jc w:val="center"/>
        </w:trPr>
        <w:tc>
          <w:tcPr>
            <w:tcW w:w="1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Adaptive</w:t>
            </w:r>
          </w:p>
        </w:tc>
        <w:tc>
          <w:tcPr>
            <w:tcW w:w="194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Stage 1 estimate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True GMR 0.90-1.00</w:t>
            </w:r>
          </w:p>
        </w:tc>
        <w:tc>
          <w:tcPr>
            <w:tcW w:w="20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CV and usePE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Futility; N distribution</w:t>
            </w:r>
          </w:p>
        </w:tc>
        <w:tc>
          <w:tcPr>
            <w:tcW w:w="33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Sample-size distribution panels</w:t>
            </w:r>
          </w:p>
        </w:tc>
      </w:tr>
      <w:tr w:rsidR="00F51FCA">
        <w:trPr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sz w:val="15"/>
              </w:rPr>
              <w:t>Adaptive</w:t>
            </w:r>
          </w:p>
        </w:tc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TIE/futility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Boundary GMR 0.80/1.25</w:t>
            </w:r>
          </w:p>
        </w:tc>
        <w:tc>
          <w:tcPr>
            <w:tcW w:w="20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5"/>
              </w:rPr>
              <w:t>CV, n1, Nmax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 xml:space="preserve">TIE; </w:t>
            </w:r>
            <w:r>
              <w:rPr>
                <w:sz w:val="15"/>
              </w:rPr>
              <w:t>futility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TIE curves with MC intervals</w:t>
            </w:r>
          </w:p>
        </w:tc>
      </w:tr>
    </w:tbl>
    <w:p w:rsidR="00F51FCA" w:rsidRDefault="00D27FFA">
      <w:pPr>
        <w:pStyle w:val="Heading1"/>
      </w:pPr>
      <w:r>
        <w:t>5. Minimum outputs for every simulation cell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152"/>
      </w:tblGrid>
      <w:tr w:rsidR="00F51FCA">
        <w:trPr>
          <w:tblHeader/>
          <w:jc w:val="center"/>
        </w:trPr>
        <w:tc>
          <w:tcPr>
            <w:tcW w:w="2880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w="1015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Definition/use</w:t>
            </w:r>
          </w:p>
        </w:tc>
      </w:tr>
      <w:tr w:rsidR="00F51FCA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Probability of BE</w:t>
            </w:r>
          </w:p>
        </w:tc>
        <w:tc>
          <w:tcPr>
            <w:tcW w:w="10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Number declared BE divided by valid simulated studies.</w:t>
            </w:r>
          </w:p>
        </w:tc>
      </w:tr>
      <w:tr w:rsidR="00F51FCA">
        <w:trPr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Method concordance</w:t>
            </w:r>
          </w:p>
        </w:tc>
        <w:tc>
          <w:tcPr>
            <w:tcW w:w="10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 xml:space="preserve">All pass, all fail, FDA-only pass, EMA-only pass, </w:t>
            </w:r>
            <w:r>
              <w:rPr>
                <w:sz w:val="17"/>
              </w:rPr>
              <w:t>alternative-only pass, and other prespecified combinations.</w:t>
            </w:r>
          </w:p>
        </w:tc>
      </w:tr>
      <w:tr w:rsidR="00F51FCA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Failure attribution</w:t>
            </w:r>
          </w:p>
        </w:tc>
        <w:tc>
          <w:tcPr>
            <w:tcW w:w="10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HVD: scaled statistic/CI, point-estimate safeguard, cap or fixed CI. NTID: scaled mean, conventional ABE, tightened CI, and variability ratio. Adaptive: Stage 1 failure, futil</w:t>
            </w:r>
            <w:r>
              <w:rPr>
                <w:sz w:val="17"/>
              </w:rPr>
              <w:t>ity, Nmax, or final pooled/combination test.</w:t>
            </w:r>
          </w:p>
        </w:tc>
      </w:tr>
      <w:tr w:rsidR="00F51FCA">
        <w:trPr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Empirical Type I error</w:t>
            </w:r>
          </w:p>
        </w:tc>
        <w:tc>
          <w:tcPr>
            <w:tcW w:w="10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Probability of declaring BE when the true parameter is placed on the prespecified null boundary. State the boundary separately for each method when hypotheses differ.</w:t>
            </w:r>
          </w:p>
        </w:tc>
      </w:tr>
      <w:tr w:rsidR="00F51FCA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Adaptive operationa</w:t>
            </w:r>
            <w:r>
              <w:rPr>
                <w:sz w:val="17"/>
              </w:rPr>
              <w:t>l metrics</w:t>
            </w:r>
          </w:p>
        </w:tc>
        <w:tc>
          <w:tcPr>
            <w:tcW w:w="10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Early success, continuation, futility, final success, mean/median/5th-95th percentile total N, and probability of reaching Nmax.</w:t>
            </w:r>
          </w:p>
        </w:tc>
      </w:tr>
      <w:tr w:rsidR="00F51FCA">
        <w:trPr>
          <w:jc w:val="center"/>
        </w:trPr>
        <w:tc>
          <w:tcPr>
            <w:tcW w:w="28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jc w:val="center"/>
              <w:rPr>
                <w:rFonts w:hint="eastAsia"/>
              </w:rPr>
            </w:pPr>
            <w:r>
              <w:rPr>
                <w:sz w:val="17"/>
              </w:rPr>
              <w:t>Monte Carlo uncertainty</w:t>
            </w:r>
          </w:p>
        </w:tc>
        <w:tc>
          <w:tcPr>
            <w:tcW w:w="10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51FCA" w:rsidRDefault="00D27FFA">
            <w:pPr>
              <w:spacing w:after="20"/>
              <w:rPr>
                <w:rFonts w:hint="eastAsia"/>
              </w:rPr>
            </w:pPr>
            <w:r>
              <w:rPr>
                <w:sz w:val="17"/>
              </w:rPr>
              <w:t>Provide binomial Monte Carlo SE or 95% interval for all estimated probabilities.</w:t>
            </w:r>
          </w:p>
        </w:tc>
      </w:tr>
    </w:tbl>
    <w:p w:rsidR="00F51FCA" w:rsidRDefault="00F51FCA">
      <w:pPr>
        <w:spacing w:after="40"/>
        <w:rPr>
          <w:rFonts w:hint="eastAsia"/>
        </w:rPr>
      </w:pPr>
    </w:p>
    <w:p w:rsidR="00F51FCA" w:rsidRDefault="00D27FFA">
      <w:pPr>
        <w:pStyle w:val="Heading1"/>
      </w:pPr>
      <w:r>
        <w:t>6. Design</w:t>
      </w:r>
      <w:r>
        <w:t xml:space="preserve"> cautions that should be prespecified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Do not compare Type I error by placing every method at one common numerical GMR if the methods imply different null boundaries. Present both a common clinically interpretable boundary analysis and a method-specific lea</w:t>
      </w:r>
      <w:r>
        <w:t>st-favorable boundary analysis.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Do not label a method globally “more stringent” from one case. Define stringency as lower probability of BE under a specified data-generating scenario, and separately discuss consumer-risk control and sample-size burden.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For</w:t>
      </w:r>
      <w:r>
        <w:t xml:space="preserve"> full-replicate simulations, prespecify subject-by-formulation interaction and the correlation/covariance structure. A sensitivity analysis should determine whether conclusions depend on those assumptions.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For adaptive studies, treat the entire decision al</w:t>
      </w:r>
      <w:r>
        <w:t>gorithm as the method. Alpha values, target power, n1, Nmax, futility, pooling, and use of the Stage 1 point estimate cannot be varied casually without re-validating TIE.</w:t>
      </w:r>
    </w:p>
    <w:p w:rsidR="00F51FCA" w:rsidRDefault="00D27FFA">
      <w:pPr>
        <w:pStyle w:val="ListBullet"/>
        <w:spacing w:after="40"/>
        <w:rPr>
          <w:rFonts w:hint="eastAsia"/>
        </w:rPr>
      </w:pPr>
      <w:r>
        <w:t>Use 200-500 replicates only to select informative regions. Freeze the final grid befo</w:t>
      </w:r>
      <w:r>
        <w:t>re running the higher-precision manuscript simulations.</w:t>
      </w:r>
    </w:p>
    <w:p w:rsidR="00F51FCA" w:rsidRDefault="00D27FFA">
      <w:pPr>
        <w:rPr>
          <w:rFonts w:hint="eastAsia"/>
        </w:rPr>
      </w:pPr>
      <w:r>
        <w:br w:type="page"/>
      </w:r>
    </w:p>
    <w:p w:rsidR="00F51FCA" w:rsidRDefault="00D27FFA">
      <w:pPr>
        <w:pStyle w:val="Heading1"/>
      </w:pPr>
      <w:r>
        <w:t>Selected literature informing the scenario choices</w:t>
      </w:r>
    </w:p>
    <w:p w:rsidR="00F51FCA" w:rsidRDefault="00D27FFA">
      <w:pPr>
        <w:pStyle w:val="ListNumber"/>
        <w:spacing w:after="40"/>
        <w:rPr>
          <w:rFonts w:hint="eastAsia"/>
        </w:rPr>
      </w:pPr>
      <w:r>
        <w:t>Karalis V, Symillides M, Macheras P. Bioequivalence of highly variable drugs: a comparison of the newly proposed regulatory approaches by FDA and E</w:t>
      </w:r>
      <w:r>
        <w:t>MA. Pharmaceutical Research. 2012;29:1066-1077. doi:10.1007/s11095-011-0651-y.</w:t>
      </w:r>
    </w:p>
    <w:p w:rsidR="00F51FCA" w:rsidRDefault="00D27FFA">
      <w:pPr>
        <w:pStyle w:val="ListNumber"/>
        <w:spacing w:after="40"/>
        <w:rPr>
          <w:rFonts w:hint="eastAsia"/>
        </w:rPr>
      </w:pPr>
      <w:r>
        <w:t>Schütz H, Labes D, Wolfsegger MJ. Critical Remarks on Reference-Scaled Average Bioequivalence. Journal of Pharmacy &amp; Pharmaceutical Sciences. 2022;25:285-296. doi:10.18433/jpps3</w:t>
      </w:r>
      <w:r>
        <w:t>2892.</w:t>
      </w:r>
    </w:p>
    <w:p w:rsidR="00F51FCA" w:rsidRDefault="00D27FFA">
      <w:pPr>
        <w:pStyle w:val="ListNumber"/>
        <w:spacing w:after="40"/>
        <w:rPr>
          <w:rFonts w:hint="eastAsia"/>
        </w:rPr>
      </w:pPr>
      <w:r>
        <w:t>Ocaña J, Muñoz J. Controlling Type I error in the reference-scaled bioequivalence evaluation of highly variable drugs. Pharmaceutical Statistics. 2019. doi:10.1002/pst.1950.</w:t>
      </w:r>
    </w:p>
    <w:p w:rsidR="00F51FCA" w:rsidRDefault="00D27FFA">
      <w:pPr>
        <w:pStyle w:val="ListNumber"/>
        <w:spacing w:after="40"/>
        <w:rPr>
          <w:rFonts w:hint="eastAsia"/>
        </w:rPr>
      </w:pPr>
      <w:r>
        <w:t>Davit BM, et al. Implementation of a Reference-Scaled Average Bioequivalence</w:t>
      </w:r>
      <w:r>
        <w:t xml:space="preserve"> Approach for Highly Variable Generic Drug Products by the US Food and Drug Administration. AAPS Journal. 2012;14:915-924. doi:10.1208/s12248-012-9406-x.</w:t>
      </w:r>
    </w:p>
    <w:p w:rsidR="00F51FCA" w:rsidRDefault="00D27FFA">
      <w:pPr>
        <w:pStyle w:val="ListNumber"/>
        <w:spacing w:after="40"/>
        <w:rPr>
          <w:rFonts w:hint="eastAsia"/>
        </w:rPr>
      </w:pPr>
      <w:r>
        <w:t>U.S. Food and Drug Administration. Statistical Approaches to Establishing Bioequivalence: Guidance for</w:t>
      </w:r>
      <w:r>
        <w:t xml:space="preserve"> Industry. May 2026.</w:t>
      </w:r>
    </w:p>
    <w:p w:rsidR="00F51FCA" w:rsidRDefault="00D27FFA">
      <w:pPr>
        <w:pStyle w:val="ListNumber"/>
        <w:spacing w:after="40"/>
        <w:rPr>
          <w:rFonts w:hint="eastAsia"/>
        </w:rPr>
      </w:pPr>
      <w:r>
        <w:t>Schuirmann DJ. Statistical Methods for Narrow Therapeutic Index and Highly Variable Drug Products. FDA regulatory presentation. March 2023.</w:t>
      </w:r>
    </w:p>
    <w:p w:rsidR="00F51FCA" w:rsidRDefault="00D27FFA">
      <w:pPr>
        <w:pStyle w:val="ListNumber"/>
        <w:spacing w:after="40"/>
        <w:rPr>
          <w:rFonts w:hint="eastAsia"/>
        </w:rPr>
      </w:pPr>
      <w:r>
        <w:t xml:space="preserve">Potvin D, et al. Sequential design approaches for bioequivalence studies with crossover </w:t>
      </w:r>
      <w:r>
        <w:t>designs. Pharmaceutical Statistics. 2008;7:245-262. doi:10.1002/pst.294.</w:t>
      </w:r>
    </w:p>
    <w:p w:rsidR="00F51FCA" w:rsidRDefault="00D27FFA">
      <w:pPr>
        <w:pStyle w:val="ListNumber"/>
        <w:spacing w:after="40"/>
        <w:rPr>
          <w:rFonts w:hint="eastAsia"/>
        </w:rPr>
      </w:pPr>
      <w:r>
        <w:t>Fuglsang A. A Sequential Bioequivalence Design with a Potential Ethical Advantage. AAPS Journal. 2014;16:843-846. doi:10.1208/s12248-014-9622-7.</w:t>
      </w:r>
    </w:p>
    <w:p w:rsidR="00F51FCA" w:rsidRDefault="00D27FFA">
      <w:pPr>
        <w:pStyle w:val="ListNumber"/>
        <w:spacing w:after="40"/>
        <w:rPr>
          <w:rFonts w:hint="eastAsia"/>
        </w:rPr>
      </w:pPr>
      <w:r>
        <w:t>Fuglsang A. A Three-Treatment Two-Stag</w:t>
      </w:r>
      <w:r>
        <w:t>e Design for Selection of a Candidate Formulation and Subsequent Demonstration of Bioequivalence. AAPS Journal. 2020. doi:10.1208/s12248-020-00492-7.</w:t>
      </w:r>
    </w:p>
    <w:p w:rsidR="00F51FCA" w:rsidRDefault="00D27FFA">
      <w:pPr>
        <w:pStyle w:val="ListNumber"/>
        <w:spacing w:after="40"/>
        <w:rPr>
          <w:rFonts w:hint="eastAsia"/>
        </w:rPr>
      </w:pPr>
      <w:r>
        <w:t>Power2Stage R package documentation: simulation of Potvin-type two-stage BE methods, futility criteria, ma</w:t>
      </w:r>
      <w:r>
        <w:t>ximum sample size, and sample-size re-estimation options.</w:t>
      </w:r>
    </w:p>
    <w:sectPr w:rsidR="00F51FCA" w:rsidSect="006D4862">
      <w:footerReference w:type="default" r:id="rId8"/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27F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00000" w:rsidRDefault="00D27F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FCA" w:rsidRDefault="00D27FFA">
    <w:pPr>
      <w:pStyle w:val="Footer"/>
      <w:jc w:val="center"/>
      <w:rPr>
        <w:rFonts w:hint="eastAsia"/>
      </w:rPr>
    </w:pPr>
    <w:r>
      <w:rPr>
        <w:sz w:val="16"/>
      </w:rPr>
      <w:t>ICH M13C borderline case-study framework | Working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27F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00000" w:rsidRDefault="00D27F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862"/>
    <w:rsid w:val="00AA1D8D"/>
    <w:rsid w:val="00B47730"/>
    <w:rsid w:val="00CB0664"/>
    <w:rsid w:val="00D27FFA"/>
    <w:rsid w:val="00F51F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E0D9204-6F8C-4176-A0F8-1D82D44B9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  <w:ind w:left="259" w:right="259"/>
    </w:pPr>
    <w:rPr>
      <w:rFonts w:ascii="Aptos" w:hAnsi="Aptos"/>
      <w:b/>
      <w:color w:val="17365D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743B3B-6FB9-4168-A252-B865B7016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2332</Words>
  <Characters>13294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Uppuluri Chandra Teja</dc:creator>
  <cp:keywords/>
  <dc:description>generated by python-docx</dc:description>
  <cp:lastModifiedBy>MohammedShareef Khan</cp:lastModifiedBy>
  <cp:revision>3</cp:revision>
  <dcterms:created xsi:type="dcterms:W3CDTF">2026-08-26T09:20:00Z</dcterms:created>
  <dcterms:modified xsi:type="dcterms:W3CDTF">2026-08-26T12:04:00Z</dcterms:modified>
  <cp:category/>
</cp:coreProperties>
</file>