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A48" w:rsidRPr="00393246" w:rsidRDefault="00A81C8F" w:rsidP="00C47DC0">
      <w:pPr>
        <w:pStyle w:val="Title"/>
        <w:spacing w:line="276" w:lineRule="auto"/>
        <w:jc w:val="center"/>
        <w:rPr>
          <w:rFonts w:ascii="Times New Roman" w:hAnsi="Times New Roman" w:cs="Times New Roman"/>
          <w:color w:val="auto"/>
          <w:sz w:val="24"/>
          <w:szCs w:val="20"/>
        </w:rPr>
      </w:pPr>
      <w:r w:rsidRPr="00393246">
        <w:rPr>
          <w:rFonts w:ascii="Times New Roman" w:hAnsi="Times New Roman" w:cs="Times New Roman"/>
          <w:color w:val="auto"/>
          <w:sz w:val="24"/>
          <w:szCs w:val="20"/>
        </w:rPr>
        <w:t>Mohammed Shareef Khan, M.Pharm., Ph.D.</w:t>
      </w:r>
    </w:p>
    <w:p w:rsidR="00817A48" w:rsidRPr="00DA685E" w:rsidRDefault="00A81C8F" w:rsidP="00C47DC0">
      <w:pPr>
        <w:pStyle w:val="Subtitle"/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A685E">
        <w:rPr>
          <w:rFonts w:ascii="Times New Roman" w:hAnsi="Times New Roman" w:cs="Times New Roman"/>
          <w:color w:val="auto"/>
          <w:sz w:val="20"/>
          <w:szCs w:val="20"/>
        </w:rPr>
        <w:t>Biopharmaceutics Sc</w:t>
      </w:r>
      <w:r w:rsidR="00C47DC0">
        <w:rPr>
          <w:rFonts w:ascii="Times New Roman" w:hAnsi="Times New Roman" w:cs="Times New Roman"/>
          <w:color w:val="auto"/>
          <w:sz w:val="20"/>
          <w:szCs w:val="20"/>
        </w:rPr>
        <w:t>ientist | PBPK/PBBM Modeling |</w:t>
      </w:r>
      <w:r w:rsidRPr="00DA685E">
        <w:rPr>
          <w:rFonts w:ascii="Times New Roman" w:hAnsi="Times New Roman" w:cs="Times New Roman"/>
          <w:color w:val="auto"/>
          <w:sz w:val="20"/>
          <w:szCs w:val="20"/>
        </w:rPr>
        <w:t>IVIVC/IVI</w:t>
      </w:r>
      <w:r w:rsidR="009A3D61">
        <w:rPr>
          <w:rFonts w:ascii="Times New Roman" w:hAnsi="Times New Roman" w:cs="Times New Roman"/>
          <w:color w:val="auto"/>
          <w:sz w:val="20"/>
          <w:szCs w:val="20"/>
        </w:rPr>
        <w:t>VR | Regulatory Justifications</w:t>
      </w:r>
    </w:p>
    <w:p w:rsidR="00817A48" w:rsidRPr="005C7AF1" w:rsidRDefault="00A81C8F" w:rsidP="00C47DC0">
      <w:pPr>
        <w:spacing w:after="80"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5C7AF1">
        <w:rPr>
          <w:rFonts w:ascii="Times New Roman" w:hAnsi="Times New Roman" w:cs="Times New Roman"/>
          <w:sz w:val="20"/>
          <w:szCs w:val="20"/>
        </w:rPr>
        <w:t xml:space="preserve">+91 8639648008  |  mdkhanshareef@gmail.com  |  </w:t>
      </w:r>
      <w:hyperlink r:id="rId8" w:history="1">
        <w:r w:rsidR="00EA3664" w:rsidRPr="005C7AF1">
          <w:rPr>
            <w:rStyle w:val="Hyperlink"/>
            <w:rFonts w:ascii="Times New Roman" w:hAnsi="Times New Roman" w:cs="Times New Roman"/>
            <w:sz w:val="20"/>
            <w:szCs w:val="20"/>
          </w:rPr>
          <w:t>https://www.linkedin.com/in/mohammed-shareef-khan-52319711a</w:t>
        </w:r>
      </w:hyperlink>
      <w:r w:rsidR="00EA3664" w:rsidRPr="005C7AF1">
        <w:rPr>
          <w:rFonts w:ascii="Times New Roman" w:hAnsi="Times New Roman" w:cs="Times New Roman"/>
          <w:sz w:val="20"/>
          <w:szCs w:val="20"/>
        </w:rPr>
        <w:t xml:space="preserve"> </w:t>
      </w:r>
    </w:p>
    <w:p w:rsidR="00817A48" w:rsidRPr="005C7AF1" w:rsidRDefault="00A81C8F" w:rsidP="00C47DC0">
      <w:pPr>
        <w:pStyle w:val="Heading1"/>
        <w:pBdr>
          <w:bottom w:val="single" w:sz="6" w:space="1" w:color="5B9BD5"/>
        </w:pBdr>
        <w:spacing w:line="276" w:lineRule="auto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C7AF1">
        <w:rPr>
          <w:rFonts w:ascii="Times New Roman" w:hAnsi="Times New Roman" w:cs="Times New Roman"/>
          <w:color w:val="auto"/>
          <w:sz w:val="20"/>
          <w:szCs w:val="20"/>
        </w:rPr>
        <w:t>PROFESSIONAL SUMMARY</w:t>
      </w:r>
    </w:p>
    <w:p w:rsidR="00817A48" w:rsidRPr="005C7AF1" w:rsidRDefault="007F64C2" w:rsidP="00C47DC0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Biopharmaceutics</w:t>
      </w:r>
      <w:r w:rsidRPr="007F64C2">
        <w:rPr>
          <w:rFonts w:ascii="Times New Roman" w:hAnsi="Times New Roman" w:cs="Times New Roman"/>
          <w:sz w:val="20"/>
          <w:szCs w:val="20"/>
        </w:rPr>
        <w:t xml:space="preserve"> Scientist with 5+ years of progressive experience in translational research, preclinical-to-clinical formulation development, model-informed drug development, PBPK/PBBM modeling, IVIVC/IVIVR, noncompartmental PK analysis, and regulatory bioequivalence justification for complex generics and peptide delivery systems. Specialized in mechanistic absorption modeling, virtual bioequivalence, dissolution-absorption relationships, </w:t>
      </w:r>
      <w:bookmarkStart w:id="0" w:name="_GoBack"/>
      <w:bookmarkEnd w:id="0"/>
      <w:r w:rsidRPr="007F64C2">
        <w:rPr>
          <w:rFonts w:ascii="Times New Roman" w:hAnsi="Times New Roman" w:cs="Times New Roman"/>
          <w:sz w:val="20"/>
          <w:szCs w:val="20"/>
        </w:rPr>
        <w:t>and integrated PK/PD analytics using GastroPlus, Phoenix WinNonlin, PK-Sim, and R. Experienced in integrating literature-derived, in vitro, physicochemical, formulation, and clinical PK data to characterize product performance, optimize formulations, establish clinically relevant dissolution targets, inform study design, mitigate bioequivalence risk, and support regulatory strategies for ANDAs and glo</w:t>
      </w:r>
      <w:r>
        <w:rPr>
          <w:rFonts w:ascii="Times New Roman" w:hAnsi="Times New Roman" w:cs="Times New Roman"/>
          <w:sz w:val="20"/>
          <w:szCs w:val="20"/>
        </w:rPr>
        <w:t>bal generic-product submissions</w:t>
      </w:r>
      <w:r w:rsidR="00A81C8F" w:rsidRPr="005C7AF1">
        <w:rPr>
          <w:rFonts w:ascii="Times New Roman" w:hAnsi="Times New Roman" w:cs="Times New Roman"/>
          <w:sz w:val="20"/>
          <w:szCs w:val="20"/>
        </w:rPr>
        <w:t>.</w:t>
      </w:r>
    </w:p>
    <w:p w:rsidR="004E26FE" w:rsidRDefault="00A81C8F" w:rsidP="00C47DC0">
      <w:pPr>
        <w:pStyle w:val="Heading1"/>
        <w:pBdr>
          <w:bottom w:val="single" w:sz="6" w:space="1" w:color="5B9BD5"/>
        </w:pBdr>
        <w:spacing w:line="276" w:lineRule="auto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C7AF1">
        <w:rPr>
          <w:rFonts w:ascii="Times New Roman" w:hAnsi="Times New Roman" w:cs="Times New Roman"/>
          <w:color w:val="auto"/>
          <w:sz w:val="20"/>
          <w:szCs w:val="20"/>
        </w:rPr>
        <w:t>CORE COMPETENCIES</w:t>
      </w:r>
    </w:p>
    <w:tbl>
      <w:tblPr>
        <w:tblStyle w:val="TableGrid"/>
        <w:tblW w:w="9781" w:type="dxa"/>
        <w:tblInd w:w="108" w:type="dxa"/>
        <w:tblLook w:val="04A0" w:firstRow="1" w:lastRow="0" w:firstColumn="1" w:lastColumn="0" w:noHBand="0" w:noVBand="1"/>
      </w:tblPr>
      <w:tblGrid>
        <w:gridCol w:w="2547"/>
        <w:gridCol w:w="7234"/>
      </w:tblGrid>
      <w:tr w:rsidR="004E26FE" w:rsidRPr="004E26FE" w:rsidTr="004E26FE">
        <w:trPr>
          <w:trHeight w:val="225"/>
        </w:trPr>
        <w:tc>
          <w:tcPr>
            <w:tcW w:w="2547" w:type="dxa"/>
            <w:hideMark/>
          </w:tcPr>
          <w:p w:rsidR="004E26FE" w:rsidRPr="004E26FE" w:rsidRDefault="004E26FE" w:rsidP="00C47DC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4E26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  <w:t>Competency</w:t>
            </w:r>
          </w:p>
        </w:tc>
        <w:tc>
          <w:tcPr>
            <w:tcW w:w="7234" w:type="dxa"/>
            <w:hideMark/>
          </w:tcPr>
          <w:p w:rsidR="004E26FE" w:rsidRPr="004E26FE" w:rsidRDefault="004E26FE" w:rsidP="00C47DC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</w:pPr>
            <w:r w:rsidRPr="004E26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  <w:t>Relevant expertise</w:t>
            </w:r>
          </w:p>
        </w:tc>
      </w:tr>
      <w:tr w:rsidR="004E26FE" w:rsidRPr="004E26FE" w:rsidTr="004E26FE">
        <w:trPr>
          <w:trHeight w:val="676"/>
        </w:trPr>
        <w:tc>
          <w:tcPr>
            <w:tcW w:w="2547" w:type="dxa"/>
            <w:hideMark/>
          </w:tcPr>
          <w:p w:rsidR="004E26FE" w:rsidRPr="004E26FE" w:rsidRDefault="004E26FE" w:rsidP="00C47DC0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4E26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  <w:t>PBPK/PBBM &amp; Mechanistic Absorption Modeling</w:t>
            </w:r>
          </w:p>
        </w:tc>
        <w:tc>
          <w:tcPr>
            <w:tcW w:w="7234" w:type="dxa"/>
            <w:hideMark/>
          </w:tcPr>
          <w:p w:rsidR="004E26FE" w:rsidRPr="004E26FE" w:rsidRDefault="004E26FE" w:rsidP="00C47DC0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4E26F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GastroPlus-based model development and parameterization; sensitivity and uncertainty analysis; fed/fasted and special-population simulations; formulation-risk assessment; dissolution safe spaces; virtual BE</w:t>
            </w:r>
          </w:p>
        </w:tc>
      </w:tr>
      <w:tr w:rsidR="004E26FE" w:rsidRPr="004E26FE" w:rsidTr="004E26FE">
        <w:trPr>
          <w:trHeight w:val="676"/>
        </w:trPr>
        <w:tc>
          <w:tcPr>
            <w:tcW w:w="2547" w:type="dxa"/>
            <w:hideMark/>
          </w:tcPr>
          <w:p w:rsidR="004E26FE" w:rsidRPr="004E26FE" w:rsidRDefault="004E26FE" w:rsidP="00C47DC0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4E26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  <w:t>PK/PD Analysis &amp; Study Design</w:t>
            </w:r>
          </w:p>
        </w:tc>
        <w:tc>
          <w:tcPr>
            <w:tcW w:w="7234" w:type="dxa"/>
            <w:hideMark/>
          </w:tcPr>
          <w:p w:rsidR="004E26FE" w:rsidRPr="004E26FE" w:rsidRDefault="004E26FE" w:rsidP="00C47DC0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4E26F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NCA; exploratory population PK and PK/PD modeling; exposure and variability interpretation; steady-state assessment; BE study design; sample-size estimation; model-informed sampling</w:t>
            </w:r>
          </w:p>
        </w:tc>
      </w:tr>
      <w:tr w:rsidR="004E26FE" w:rsidRPr="004E26FE" w:rsidTr="004E26FE">
        <w:trPr>
          <w:trHeight w:val="450"/>
        </w:trPr>
        <w:tc>
          <w:tcPr>
            <w:tcW w:w="2547" w:type="dxa"/>
            <w:hideMark/>
          </w:tcPr>
          <w:p w:rsidR="004E26FE" w:rsidRPr="004E26FE" w:rsidRDefault="004E26FE" w:rsidP="00C47DC0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4E26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  <w:t>IVIVC/IVIVR &amp; Dissolution</w:t>
            </w:r>
          </w:p>
        </w:tc>
        <w:tc>
          <w:tcPr>
            <w:tcW w:w="7234" w:type="dxa"/>
            <w:hideMark/>
          </w:tcPr>
          <w:p w:rsidR="004E26FE" w:rsidRPr="004E26FE" w:rsidRDefault="004E26FE" w:rsidP="00C47DC0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4E26F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Level A IVIVC; convolution/deconvolution; pilot-to-pivotal linkage; discriminatory and biorelevant dissolution; clinically relevant dissolution targets</w:t>
            </w:r>
          </w:p>
        </w:tc>
      </w:tr>
      <w:tr w:rsidR="004E26FE" w:rsidRPr="004E26FE" w:rsidTr="004E26FE">
        <w:trPr>
          <w:trHeight w:val="450"/>
        </w:trPr>
        <w:tc>
          <w:tcPr>
            <w:tcW w:w="2547" w:type="dxa"/>
            <w:hideMark/>
          </w:tcPr>
          <w:p w:rsidR="004E26FE" w:rsidRPr="004E26FE" w:rsidRDefault="004E26FE" w:rsidP="00C47DC0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4E26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  <w:t>Regulatory Biopharmaceutics</w:t>
            </w:r>
          </w:p>
        </w:tc>
        <w:tc>
          <w:tcPr>
            <w:tcW w:w="7234" w:type="dxa"/>
            <w:hideMark/>
          </w:tcPr>
          <w:p w:rsidR="004E26FE" w:rsidRPr="004E26FE" w:rsidRDefault="004E26FE" w:rsidP="00C47DC0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4E26F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BCS and additional-strength biowaivers; dissolution mismatch justifications; SUPAC change-impact assessment; BE-risk evaluation; ANDA and global regulatory support</w:t>
            </w:r>
          </w:p>
        </w:tc>
      </w:tr>
      <w:tr w:rsidR="004E26FE" w:rsidRPr="004E26FE" w:rsidTr="004E26FE">
        <w:trPr>
          <w:trHeight w:val="450"/>
        </w:trPr>
        <w:tc>
          <w:tcPr>
            <w:tcW w:w="2547" w:type="dxa"/>
            <w:hideMark/>
          </w:tcPr>
          <w:p w:rsidR="004E26FE" w:rsidRPr="004E26FE" w:rsidRDefault="004E26FE" w:rsidP="00C47DC0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4E26F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IN" w:eastAsia="en-IN"/>
              </w:rPr>
              <w:t>QbD, Data Integration &amp; Programming</w:t>
            </w:r>
          </w:p>
        </w:tc>
        <w:tc>
          <w:tcPr>
            <w:tcW w:w="7234" w:type="dxa"/>
            <w:hideMark/>
          </w:tcPr>
          <w:p w:rsidR="004E26FE" w:rsidRPr="004E26FE" w:rsidRDefault="004E26FE" w:rsidP="00C47DC0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  <w:r w:rsidRPr="004E26FE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DoE; CMA/CFC/CPP assessment; integration of physicochemical, formulation, dissolution, permeability, stability, and PK evidence; R; bios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  <w:t>tatistics</w:t>
            </w:r>
          </w:p>
        </w:tc>
      </w:tr>
    </w:tbl>
    <w:p w:rsidR="00817A48" w:rsidRPr="005C7AF1" w:rsidRDefault="00A81C8F" w:rsidP="00C47DC0">
      <w:pPr>
        <w:pStyle w:val="Heading1"/>
        <w:pBdr>
          <w:bottom w:val="single" w:sz="6" w:space="1" w:color="5B9BD5"/>
        </w:pBdr>
        <w:spacing w:line="276" w:lineRule="auto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C7AF1">
        <w:rPr>
          <w:rFonts w:ascii="Times New Roman" w:hAnsi="Times New Roman" w:cs="Times New Roman"/>
          <w:color w:val="auto"/>
          <w:sz w:val="20"/>
          <w:szCs w:val="20"/>
        </w:rPr>
        <w:t>PROFESSIONAL EXPERIENCE</w:t>
      </w:r>
    </w:p>
    <w:p w:rsidR="00817A48" w:rsidRPr="002502BC" w:rsidRDefault="00A81C8F" w:rsidP="00C47DC0">
      <w:pPr>
        <w:pStyle w:val="Heading2"/>
        <w:spacing w:line="276" w:lineRule="auto"/>
        <w:jc w:val="both"/>
        <w:rPr>
          <w:rFonts w:ascii="Times New Roman" w:hAnsi="Times New Roman" w:cs="Times New Roman"/>
          <w:color w:val="auto"/>
          <w:sz w:val="20"/>
          <w:szCs w:val="20"/>
          <w:u w:val="single"/>
        </w:rPr>
      </w:pPr>
      <w:r w:rsidRPr="002502BC">
        <w:rPr>
          <w:rFonts w:ascii="Times New Roman" w:hAnsi="Times New Roman" w:cs="Times New Roman"/>
          <w:color w:val="auto"/>
          <w:sz w:val="20"/>
          <w:szCs w:val="20"/>
          <w:u w:val="single"/>
        </w:rPr>
        <w:t>Biopharmaceutics Scientist (PBBM/PBPK Modeling) | Dr. Reddy's Laboratories</w:t>
      </w:r>
      <w:r w:rsidR="00FB4193" w:rsidRPr="002502BC">
        <w:rPr>
          <w:rFonts w:ascii="Times New Roman" w:hAnsi="Times New Roman" w:cs="Times New Roman"/>
          <w:i/>
          <w:color w:val="auto"/>
          <w:sz w:val="20"/>
          <w:szCs w:val="20"/>
          <w:u w:val="single"/>
        </w:rPr>
        <w:t>| Aug</w:t>
      </w:r>
      <w:r w:rsidRPr="002502BC">
        <w:rPr>
          <w:rFonts w:ascii="Times New Roman" w:hAnsi="Times New Roman" w:cs="Times New Roman"/>
          <w:i/>
          <w:color w:val="auto"/>
          <w:sz w:val="20"/>
          <w:szCs w:val="20"/>
          <w:u w:val="single"/>
        </w:rPr>
        <w:t xml:space="preserve"> 2023 - Present</w:t>
      </w:r>
    </w:p>
    <w:p w:rsidR="00AE1B05" w:rsidRDefault="00C469D1" w:rsidP="00C47DC0">
      <w:pPr>
        <w:pStyle w:val="paragraph"/>
        <w:numPr>
          <w:ilvl w:val="0"/>
          <w:numId w:val="25"/>
        </w:numPr>
        <w:spacing w:before="0" w:beforeAutospacing="0" w:after="0" w:afterAutospacing="0" w:line="276" w:lineRule="auto"/>
        <w:ind w:left="284" w:hanging="284"/>
        <w:jc w:val="both"/>
        <w:textAlignment w:val="baseline"/>
        <w:rPr>
          <w:sz w:val="20"/>
          <w:szCs w:val="20"/>
        </w:rPr>
      </w:pPr>
      <w:r w:rsidRPr="005C7AF1">
        <w:rPr>
          <w:rStyle w:val="normaltextrun"/>
          <w:sz w:val="20"/>
          <w:szCs w:val="20"/>
          <w:lang w:val="en-US"/>
        </w:rPr>
        <w:t>Integrate literature-derived and in-house physicochemical, dissolution, stability, permeability, formulation, and pharmacokinetic data to characterize product behavior and guide formulation-development and biopharmaceutics-risk decisions.</w:t>
      </w:r>
      <w:r w:rsidRPr="005C7AF1">
        <w:rPr>
          <w:rStyle w:val="eop"/>
          <w:sz w:val="20"/>
          <w:szCs w:val="20"/>
        </w:rPr>
        <w:t> </w:t>
      </w:r>
    </w:p>
    <w:p w:rsidR="00C469D1" w:rsidRDefault="00880364" w:rsidP="00C47DC0">
      <w:pPr>
        <w:pStyle w:val="paragraph"/>
        <w:numPr>
          <w:ilvl w:val="0"/>
          <w:numId w:val="25"/>
        </w:numPr>
        <w:spacing w:before="0" w:beforeAutospacing="0" w:after="0" w:afterAutospacing="0" w:line="276" w:lineRule="auto"/>
        <w:ind w:left="284" w:hanging="284"/>
        <w:jc w:val="both"/>
        <w:textAlignment w:val="baseline"/>
        <w:rPr>
          <w:rStyle w:val="eop"/>
          <w:sz w:val="20"/>
          <w:szCs w:val="20"/>
        </w:rPr>
      </w:pPr>
      <w:r>
        <w:rPr>
          <w:rStyle w:val="normaltextrun"/>
          <w:sz w:val="20"/>
          <w:szCs w:val="20"/>
          <w:lang w:val="en-US"/>
        </w:rPr>
        <w:t>Pe</w:t>
      </w:r>
      <w:r w:rsidR="00AE1B05" w:rsidRPr="00AE1B05">
        <w:rPr>
          <w:rStyle w:val="normaltextrun"/>
          <w:rFonts w:hint="eastAsia"/>
          <w:sz w:val="20"/>
          <w:szCs w:val="20"/>
          <w:lang w:val="en-US"/>
        </w:rPr>
        <w:t>rform noncompartmental PK and integrated PK/PD analyses</w:t>
      </w:r>
      <w:r>
        <w:rPr>
          <w:rStyle w:val="normaltextrun"/>
          <w:sz w:val="20"/>
          <w:szCs w:val="20"/>
          <w:lang w:val="en-US"/>
        </w:rPr>
        <w:t xml:space="preserve">, BE </w:t>
      </w:r>
      <w:r w:rsidR="00552BAC">
        <w:rPr>
          <w:rStyle w:val="normaltextrun"/>
          <w:sz w:val="20"/>
          <w:szCs w:val="20"/>
          <w:lang w:val="en-US"/>
        </w:rPr>
        <w:t>study data analyses</w:t>
      </w:r>
      <w:r w:rsidR="00AE1B05" w:rsidRPr="00AE1B05">
        <w:rPr>
          <w:rStyle w:val="normaltextrun"/>
          <w:rFonts w:hint="eastAsia"/>
          <w:sz w:val="20"/>
          <w:szCs w:val="20"/>
          <w:lang w:val="en-US"/>
        </w:rPr>
        <w:t xml:space="preserve"> in Phoenix WinNonlin, including assessments of exposure</w:t>
      </w:r>
      <w:r w:rsidR="00C820CE">
        <w:rPr>
          <w:rStyle w:val="normaltextrun"/>
          <w:sz w:val="20"/>
          <w:szCs w:val="20"/>
          <w:lang w:val="en-US"/>
        </w:rPr>
        <w:t>-response analysis</w:t>
      </w:r>
      <w:r w:rsidR="00AE1B05" w:rsidRPr="00AE1B05">
        <w:rPr>
          <w:rStyle w:val="normaltextrun"/>
          <w:rFonts w:hint="eastAsia"/>
          <w:sz w:val="20"/>
          <w:szCs w:val="20"/>
          <w:lang w:val="en-US"/>
        </w:rPr>
        <w:t>, and steady-state behavior, and use the resulting parameter estimates to characterize product behavior and support model development and scientific decision-making</w:t>
      </w:r>
      <w:r w:rsidR="00C469D1" w:rsidRPr="00AE1B05">
        <w:rPr>
          <w:rStyle w:val="normaltextrun"/>
          <w:sz w:val="20"/>
          <w:szCs w:val="20"/>
          <w:lang w:val="en-US"/>
        </w:rPr>
        <w:t>.</w:t>
      </w:r>
      <w:r w:rsidR="00C469D1" w:rsidRPr="00AE1B05">
        <w:rPr>
          <w:rStyle w:val="eop"/>
          <w:sz w:val="20"/>
          <w:szCs w:val="20"/>
        </w:rPr>
        <w:t> </w:t>
      </w:r>
    </w:p>
    <w:p w:rsidR="005A4127" w:rsidRPr="00AE1B05" w:rsidRDefault="005A4127" w:rsidP="00C47DC0">
      <w:pPr>
        <w:pStyle w:val="paragraph"/>
        <w:numPr>
          <w:ilvl w:val="0"/>
          <w:numId w:val="25"/>
        </w:numPr>
        <w:spacing w:before="0" w:beforeAutospacing="0" w:after="0" w:afterAutospacing="0" w:line="276" w:lineRule="auto"/>
        <w:ind w:left="284" w:hanging="284"/>
        <w:jc w:val="both"/>
        <w:textAlignment w:val="baseline"/>
        <w:rPr>
          <w:sz w:val="20"/>
          <w:szCs w:val="20"/>
        </w:rPr>
      </w:pPr>
      <w:r w:rsidRPr="005A4127">
        <w:rPr>
          <w:sz w:val="20"/>
          <w:szCs w:val="20"/>
        </w:rPr>
        <w:t>Develop exploratory population PK and PK/PD models in R to support internal scientific decision-making and model-informed data interpretation, while advancing methodological understanding through the preparation of a scientific publication</w:t>
      </w:r>
      <w:r w:rsidR="00AA747A">
        <w:rPr>
          <w:sz w:val="20"/>
          <w:szCs w:val="20"/>
        </w:rPr>
        <w:t>.</w:t>
      </w:r>
    </w:p>
    <w:p w:rsidR="00914536" w:rsidRDefault="002E7337" w:rsidP="00C47DC0">
      <w:pPr>
        <w:pStyle w:val="ListParagraph"/>
        <w:numPr>
          <w:ilvl w:val="0"/>
          <w:numId w:val="25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2E7337">
        <w:rPr>
          <w:rFonts w:ascii="Times New Roman" w:hAnsi="Times New Roman" w:cs="Times New Roman"/>
          <w:sz w:val="20"/>
          <w:szCs w:val="20"/>
        </w:rPr>
        <w:t>Develop mechanistic absorption and PBPK/PBBM models, including sensitivity analyses and prospective simulations across formulation, fed/fasted, and special-population scenarios, to support formulation optimization, biowaivers, dissolution safe spaces, virtual BE, uncertainty assessment, and prospective BE-risk evaluation.</w:t>
      </w:r>
    </w:p>
    <w:p w:rsidR="006976AA" w:rsidRDefault="006976AA" w:rsidP="00C47DC0">
      <w:pPr>
        <w:pStyle w:val="ListParagraph"/>
        <w:numPr>
          <w:ilvl w:val="0"/>
          <w:numId w:val="25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6976AA">
        <w:rPr>
          <w:rFonts w:ascii="Times New Roman" w:hAnsi="Times New Roman" w:cs="Times New Roman"/>
          <w:sz w:val="20"/>
          <w:szCs w:val="20"/>
        </w:rPr>
        <w:t>Develop IVIVC/IVIVR models linking dissolution with pilot and pivotal BE data, and lead the development of discriminatory and biorelevant dissolution methods</w:t>
      </w:r>
      <w:r>
        <w:rPr>
          <w:rFonts w:ascii="Times New Roman" w:hAnsi="Times New Roman" w:cs="Times New Roman"/>
          <w:sz w:val="20"/>
          <w:szCs w:val="20"/>
        </w:rPr>
        <w:t xml:space="preserve"> using USP Apparatus I, II, IV and</w:t>
      </w:r>
      <w:r w:rsidRPr="006976AA">
        <w:rPr>
          <w:rFonts w:ascii="Times New Roman" w:hAnsi="Times New Roman" w:cs="Times New Roman"/>
          <w:sz w:val="20"/>
          <w:szCs w:val="20"/>
        </w:rPr>
        <w:t xml:space="preserve"> DissoFlux,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6976AA">
        <w:rPr>
          <w:rFonts w:ascii="Times New Roman" w:hAnsi="Times New Roman" w:cs="Times New Roman"/>
          <w:sz w:val="20"/>
          <w:szCs w:val="20"/>
        </w:rPr>
        <w:t>to guide formulation selection and clinically relevant dissolution targets.</w:t>
      </w:r>
    </w:p>
    <w:p w:rsidR="006976AA" w:rsidRDefault="006976AA" w:rsidP="00C47DC0">
      <w:pPr>
        <w:pStyle w:val="ListParagraph"/>
        <w:numPr>
          <w:ilvl w:val="0"/>
          <w:numId w:val="25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6976AA">
        <w:rPr>
          <w:rFonts w:ascii="Times New Roman" w:hAnsi="Times New Roman" w:cs="Times New Roman"/>
          <w:sz w:val="20"/>
          <w:szCs w:val="20"/>
        </w:rPr>
        <w:t>Apply QbD principles to identify critical material attributes, critical formulation components, and critical process parameters affecting dissolution, bioavailability, and product performance; support peptide formulations by addressing enzymatic instability, low permeability, and excipient compatibility.</w:t>
      </w:r>
    </w:p>
    <w:p w:rsidR="006976AA" w:rsidRDefault="006976AA" w:rsidP="00C47DC0">
      <w:pPr>
        <w:pStyle w:val="ListParagraph"/>
        <w:numPr>
          <w:ilvl w:val="0"/>
          <w:numId w:val="25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6976AA">
        <w:rPr>
          <w:rFonts w:ascii="Times New Roman" w:hAnsi="Times New Roman" w:cs="Times New Roman"/>
          <w:sz w:val="20"/>
          <w:szCs w:val="20"/>
        </w:rPr>
        <w:t>Conduct dossier reviews, scientific due diligence, and product-ideation assessments covering technical feasibility, differentiation, clinical relevance, biopharmaceutics and regulatory risks, provide evidence-based recommendations for product selection and portfolio prioritization.</w:t>
      </w:r>
    </w:p>
    <w:p w:rsidR="006976AA" w:rsidRDefault="006976AA" w:rsidP="00C47DC0">
      <w:pPr>
        <w:pStyle w:val="ListParagraph"/>
        <w:numPr>
          <w:ilvl w:val="0"/>
          <w:numId w:val="25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6976AA">
        <w:rPr>
          <w:rFonts w:ascii="Times New Roman" w:hAnsi="Times New Roman" w:cs="Times New Roman"/>
          <w:sz w:val="20"/>
          <w:szCs w:val="20"/>
        </w:rPr>
        <w:t>Prepare and communicate BCS-based and lower-strength biowaiver justifications, dissolution safe-space assessments, BE-risk reports, and recommendations through regulatory-ready reports, scientific presentations, and cross-functi</w:t>
      </w:r>
      <w:r>
        <w:rPr>
          <w:rFonts w:ascii="Times New Roman" w:hAnsi="Times New Roman" w:cs="Times New Roman"/>
          <w:sz w:val="20"/>
          <w:szCs w:val="20"/>
        </w:rPr>
        <w:t>onal collaboration with</w:t>
      </w:r>
      <w:r w:rsidRPr="006976AA">
        <w:rPr>
          <w:rFonts w:ascii="Times New Roman" w:hAnsi="Times New Roman" w:cs="Times New Roman"/>
          <w:sz w:val="20"/>
          <w:szCs w:val="20"/>
        </w:rPr>
        <w:t xml:space="preserve"> for</w:t>
      </w:r>
      <w:r>
        <w:rPr>
          <w:rFonts w:ascii="Times New Roman" w:hAnsi="Times New Roman" w:cs="Times New Roman"/>
          <w:sz w:val="20"/>
          <w:szCs w:val="20"/>
        </w:rPr>
        <w:t>mulation, analytical</w:t>
      </w:r>
      <w:r w:rsidRPr="006976AA">
        <w:rPr>
          <w:rFonts w:ascii="Times New Roman" w:hAnsi="Times New Roman" w:cs="Times New Roman"/>
          <w:sz w:val="20"/>
          <w:szCs w:val="20"/>
        </w:rPr>
        <w:t>, clinical pharmacology, regulatory affairs, and project-management teams.</w:t>
      </w:r>
    </w:p>
    <w:p w:rsidR="00914536" w:rsidRPr="002502BC" w:rsidRDefault="00A81C8F" w:rsidP="00C47DC0">
      <w:pPr>
        <w:spacing w:line="276" w:lineRule="auto"/>
        <w:ind w:left="288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2502BC">
        <w:rPr>
          <w:rFonts w:ascii="Times New Roman" w:hAnsi="Times New Roman" w:cs="Times New Roman"/>
          <w:b/>
          <w:sz w:val="20"/>
          <w:szCs w:val="20"/>
          <w:u w:val="single"/>
        </w:rPr>
        <w:lastRenderedPageBreak/>
        <w:t>Senior Research Associate | Biocon Bristol-Myers Squibb R&amp;D Center (BBRC</w:t>
      </w:r>
      <w:r w:rsidR="00651D9C" w:rsidRPr="002502BC">
        <w:rPr>
          <w:rFonts w:ascii="Times New Roman" w:hAnsi="Times New Roman" w:cs="Times New Roman"/>
          <w:b/>
          <w:sz w:val="20"/>
          <w:szCs w:val="20"/>
          <w:u w:val="single"/>
        </w:rPr>
        <w:t>) | Apr</w:t>
      </w:r>
      <w:r w:rsidRPr="002502BC">
        <w:rPr>
          <w:rFonts w:ascii="Times New Roman" w:hAnsi="Times New Roman" w:cs="Times New Roman"/>
          <w:b/>
          <w:sz w:val="20"/>
          <w:szCs w:val="20"/>
          <w:u w:val="single"/>
        </w:rPr>
        <w:t xml:space="preserve"> 2018 - Nov 2019</w:t>
      </w:r>
    </w:p>
    <w:p w:rsidR="00914536" w:rsidRPr="002502BC" w:rsidRDefault="00EA74A0" w:rsidP="00C47DC0">
      <w:pPr>
        <w:pStyle w:val="ListParagraph"/>
        <w:numPr>
          <w:ilvl w:val="0"/>
          <w:numId w:val="25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2502BC">
        <w:rPr>
          <w:rFonts w:ascii="Times New Roman" w:hAnsi="Times New Roman" w:cs="Times New Roman"/>
          <w:sz w:val="20"/>
          <w:szCs w:val="20"/>
        </w:rPr>
        <w:t>Supported preformulation and early formulation-development activities for drug-discovery programs through solubility, solid-state, physicochemical, and stability assessments of lead compounds.</w:t>
      </w:r>
    </w:p>
    <w:p w:rsidR="00914536" w:rsidRPr="002502BC" w:rsidRDefault="00EA74A0" w:rsidP="00C47DC0">
      <w:pPr>
        <w:pStyle w:val="ListParagraph"/>
        <w:numPr>
          <w:ilvl w:val="0"/>
          <w:numId w:val="25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2502BC">
        <w:rPr>
          <w:rFonts w:ascii="Times New Roman" w:hAnsi="Times New Roman" w:cs="Times New Roman"/>
          <w:sz w:val="20"/>
          <w:szCs w:val="20"/>
        </w:rPr>
        <w:t>Developed oral and intravenous formulations supporting IND-enabling toxicology studies, with emphasis on target systemic exposure, dose feasibility, stability, tolerability, and formulation suitability.</w:t>
      </w:r>
    </w:p>
    <w:p w:rsidR="00914536" w:rsidRPr="002502BC" w:rsidRDefault="00EA74A0" w:rsidP="00C47DC0">
      <w:pPr>
        <w:pStyle w:val="ListParagraph"/>
        <w:numPr>
          <w:ilvl w:val="0"/>
          <w:numId w:val="25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2502BC">
        <w:rPr>
          <w:rFonts w:ascii="Times New Roman" w:hAnsi="Times New Roman" w:cs="Times New Roman"/>
          <w:sz w:val="20"/>
          <w:szCs w:val="20"/>
        </w:rPr>
        <w:t>Evaluated modified-release and particulate drug-delivery systems using micro-dissolution and particle-characterization tools and interpreted in vitro release behavior in relation to anticipated in vivo drug absorption.</w:t>
      </w:r>
    </w:p>
    <w:p w:rsidR="002502BC" w:rsidRPr="002502BC" w:rsidRDefault="00EA74A0" w:rsidP="00C47DC0">
      <w:pPr>
        <w:pStyle w:val="ListParagraph"/>
        <w:numPr>
          <w:ilvl w:val="0"/>
          <w:numId w:val="25"/>
        </w:numPr>
        <w:spacing w:line="276" w:lineRule="auto"/>
        <w:ind w:left="284" w:hanging="284"/>
        <w:jc w:val="both"/>
        <w:rPr>
          <w:b/>
          <w:bCs/>
          <w:sz w:val="20"/>
          <w:szCs w:val="20"/>
        </w:rPr>
      </w:pPr>
      <w:r w:rsidRPr="002502BC">
        <w:rPr>
          <w:rFonts w:ascii="Times New Roman" w:hAnsi="Times New Roman" w:cs="Times New Roman"/>
          <w:sz w:val="20"/>
          <w:szCs w:val="20"/>
        </w:rPr>
        <w:t>Generated scientific data packages and formulation-development recommendations to support candidate selection and progression from</w:t>
      </w:r>
      <w:r w:rsidRPr="002502BC">
        <w:rPr>
          <w:sz w:val="20"/>
          <w:szCs w:val="20"/>
        </w:rPr>
        <w:t xml:space="preserve"> preclinical screening to clinical and regulatory development.</w:t>
      </w:r>
    </w:p>
    <w:p w:rsidR="00EA74A0" w:rsidRPr="002502BC" w:rsidRDefault="00EA74A0" w:rsidP="00C47DC0">
      <w:pPr>
        <w:pStyle w:val="ListParagraph"/>
        <w:numPr>
          <w:ilvl w:val="0"/>
          <w:numId w:val="25"/>
        </w:numPr>
        <w:spacing w:line="276" w:lineRule="auto"/>
        <w:ind w:left="284" w:hanging="284"/>
        <w:jc w:val="both"/>
        <w:rPr>
          <w:b/>
          <w:bCs/>
          <w:sz w:val="20"/>
          <w:szCs w:val="20"/>
        </w:rPr>
      </w:pPr>
      <w:r w:rsidRPr="002502BC">
        <w:rPr>
          <w:sz w:val="20"/>
          <w:szCs w:val="20"/>
        </w:rPr>
        <w:t>Collaborated with multidisciplinary teams across discovery, toxicology, pharmacokinetics, analytical development, and formulation sciences to support program objectives and development decisions.</w:t>
      </w:r>
    </w:p>
    <w:p w:rsidR="00817A48" w:rsidRPr="002502BC" w:rsidRDefault="00A81C8F" w:rsidP="00C47DC0">
      <w:pPr>
        <w:pStyle w:val="Heading2"/>
        <w:spacing w:line="276" w:lineRule="auto"/>
        <w:jc w:val="both"/>
        <w:rPr>
          <w:rFonts w:ascii="Times New Roman" w:hAnsi="Times New Roman" w:cs="Times New Roman"/>
          <w:color w:val="auto"/>
          <w:sz w:val="20"/>
          <w:szCs w:val="20"/>
          <w:u w:val="single"/>
        </w:rPr>
      </w:pPr>
      <w:r w:rsidRPr="002502BC">
        <w:rPr>
          <w:rFonts w:ascii="Times New Roman" w:hAnsi="Times New Roman" w:cs="Times New Roman"/>
          <w:color w:val="auto"/>
          <w:sz w:val="20"/>
          <w:szCs w:val="20"/>
          <w:u w:val="single"/>
        </w:rPr>
        <w:t xml:space="preserve">Doctoral Research Experience, Translational Formulation &amp; Pharmacokinetics | BITS Pilani, Hyderabad </w:t>
      </w:r>
      <w:r w:rsidR="00651D9C" w:rsidRPr="002502BC">
        <w:rPr>
          <w:rFonts w:ascii="Times New Roman" w:hAnsi="Times New Roman" w:cs="Times New Roman"/>
          <w:color w:val="auto"/>
          <w:sz w:val="20"/>
          <w:szCs w:val="20"/>
          <w:u w:val="single"/>
        </w:rPr>
        <w:t>Campus</w:t>
      </w:r>
      <w:r w:rsidR="00651D9C" w:rsidRPr="002502BC">
        <w:rPr>
          <w:rFonts w:ascii="Times New Roman" w:hAnsi="Times New Roman" w:cs="Times New Roman"/>
          <w:i/>
          <w:color w:val="auto"/>
          <w:sz w:val="20"/>
          <w:szCs w:val="20"/>
          <w:u w:val="single"/>
        </w:rPr>
        <w:t xml:space="preserve"> | 2020</w:t>
      </w:r>
      <w:r w:rsidRPr="002502BC">
        <w:rPr>
          <w:rFonts w:ascii="Times New Roman" w:hAnsi="Times New Roman" w:cs="Times New Roman"/>
          <w:i/>
          <w:color w:val="auto"/>
          <w:sz w:val="20"/>
          <w:szCs w:val="20"/>
          <w:u w:val="single"/>
        </w:rPr>
        <w:t xml:space="preserve"> - 2023</w:t>
      </w:r>
    </w:p>
    <w:p w:rsidR="005F065A" w:rsidRPr="005F065A" w:rsidRDefault="005F065A" w:rsidP="00C47DC0">
      <w:pPr>
        <w:pStyle w:val="CVBullet"/>
        <w:numPr>
          <w:ilvl w:val="0"/>
          <w:numId w:val="18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5F065A">
        <w:rPr>
          <w:rFonts w:ascii="Times New Roman" w:hAnsi="Times New Roman" w:cs="Times New Roman"/>
          <w:sz w:val="20"/>
          <w:szCs w:val="20"/>
        </w:rPr>
        <w:t>Designed and executed DoE-based formulation-development and optimization studies integrating physicochemical characterization, in vitro drug-release testing, ex vivo permeation, and in vivo PK evaluation of nanoparticulate and in situ gel-based ocular delivery systems.</w:t>
      </w:r>
    </w:p>
    <w:p w:rsidR="005F065A" w:rsidRPr="005F065A" w:rsidRDefault="005F065A" w:rsidP="00C47DC0">
      <w:pPr>
        <w:pStyle w:val="CVBullet"/>
        <w:numPr>
          <w:ilvl w:val="0"/>
          <w:numId w:val="18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5F065A">
        <w:rPr>
          <w:rFonts w:ascii="Times New Roman" w:hAnsi="Times New Roman" w:cs="Times New Roman"/>
          <w:sz w:val="20"/>
          <w:szCs w:val="20"/>
        </w:rPr>
        <w:t>Developed and optimized drug nanocrystals, polymeric nanoparticles, lipid-based nanoparticles, and polymer-lipid hybrid nanoformulations, including their incorporation into ocular in situ gel systems.</w:t>
      </w:r>
    </w:p>
    <w:p w:rsidR="005F065A" w:rsidRPr="005F065A" w:rsidRDefault="005F065A" w:rsidP="00C47DC0">
      <w:pPr>
        <w:pStyle w:val="CVBullet"/>
        <w:numPr>
          <w:ilvl w:val="0"/>
          <w:numId w:val="18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5F065A">
        <w:rPr>
          <w:rFonts w:ascii="Times New Roman" w:hAnsi="Times New Roman" w:cs="Times New Roman"/>
          <w:sz w:val="20"/>
          <w:szCs w:val="20"/>
        </w:rPr>
        <w:t>Conducted comprehensive physicochemical and biopharmaceutical characterization of nanoformulations, including particle characteristics, drug loading, drug release, permeability, stability, and in vivo performance.</w:t>
      </w:r>
    </w:p>
    <w:p w:rsidR="005F065A" w:rsidRPr="005F065A" w:rsidRDefault="005F065A" w:rsidP="00C47DC0">
      <w:pPr>
        <w:pStyle w:val="CVBullet"/>
        <w:numPr>
          <w:ilvl w:val="0"/>
          <w:numId w:val="18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5F065A">
        <w:rPr>
          <w:rFonts w:ascii="Times New Roman" w:hAnsi="Times New Roman" w:cs="Times New Roman"/>
          <w:sz w:val="20"/>
          <w:szCs w:val="20"/>
        </w:rPr>
        <w:t>Conducted ocular PK studies in rabbits, including animal handling, dosing, biological sample collection, and evaluation of ocular and systemic drug exposure.</w:t>
      </w:r>
    </w:p>
    <w:p w:rsidR="005F065A" w:rsidRPr="005F065A" w:rsidRDefault="005F065A" w:rsidP="00C47DC0">
      <w:pPr>
        <w:pStyle w:val="CVBullet"/>
        <w:numPr>
          <w:ilvl w:val="0"/>
          <w:numId w:val="18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5F065A">
        <w:rPr>
          <w:rFonts w:ascii="Times New Roman" w:hAnsi="Times New Roman" w:cs="Times New Roman"/>
          <w:sz w:val="20"/>
          <w:szCs w:val="20"/>
        </w:rPr>
        <w:t>Performed biological sample processing, drug extraction, and UPLC/HPLC-based quantitative bioanalysis, followed by noncompartmental PK analysis to evaluate ocular bioavailability, drug retention, systemic exposure, and formulation performance.</w:t>
      </w:r>
    </w:p>
    <w:p w:rsidR="005F065A" w:rsidRPr="005F065A" w:rsidRDefault="005F065A" w:rsidP="00C47DC0">
      <w:pPr>
        <w:pStyle w:val="CVBullet"/>
        <w:numPr>
          <w:ilvl w:val="0"/>
          <w:numId w:val="18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5F065A">
        <w:rPr>
          <w:rFonts w:ascii="Times New Roman" w:hAnsi="Times New Roman" w:cs="Times New Roman"/>
          <w:sz w:val="20"/>
          <w:szCs w:val="20"/>
        </w:rPr>
        <w:t>Established formulation-exposure relationships by integrating drug solubility, particle-engineering attributes, physicochemical characteristics, release kinetics, ex vivo permeability, and in vivo PK findings, and translated the evidence into recommendations for formulation selection, optimization, and ocular drug-delivery strategy.</w:t>
      </w:r>
    </w:p>
    <w:p w:rsidR="00817A48" w:rsidRDefault="005F065A" w:rsidP="00C47DC0">
      <w:pPr>
        <w:pStyle w:val="CVBullet"/>
        <w:numPr>
          <w:ilvl w:val="0"/>
          <w:numId w:val="18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5F065A">
        <w:rPr>
          <w:rFonts w:ascii="Times New Roman" w:hAnsi="Times New Roman" w:cs="Times New Roman"/>
          <w:sz w:val="20"/>
          <w:szCs w:val="20"/>
        </w:rPr>
        <w:t>Served as Teaching Assistant for Instrumental Methods of Analysis, Dosage Form Design, Pharmacokinetics, and Biostatistics for B.Pharm. and M.Pharm. programs</w:t>
      </w:r>
      <w:r w:rsidR="00552BAC" w:rsidRPr="00552BAC">
        <w:rPr>
          <w:rFonts w:ascii="Times New Roman" w:hAnsi="Times New Roman" w:cs="Times New Roman"/>
          <w:sz w:val="20"/>
          <w:szCs w:val="20"/>
        </w:rPr>
        <w:t xml:space="preserve">Served as Teaching Assistant for Instrumental Methods of Analysis, Dosage Form Design, Pharmacokinetics, and Biostatistics for B.Pharm. and M.Pharm. </w:t>
      </w:r>
      <w:r w:rsidR="00AA747A" w:rsidRPr="00552BAC">
        <w:rPr>
          <w:rFonts w:ascii="Times New Roman" w:hAnsi="Times New Roman" w:cs="Times New Roman"/>
          <w:sz w:val="20"/>
          <w:szCs w:val="20"/>
        </w:rPr>
        <w:t>Programs</w:t>
      </w:r>
      <w:r w:rsidR="00552BAC" w:rsidRPr="00552BAC">
        <w:rPr>
          <w:rFonts w:ascii="Times New Roman" w:hAnsi="Times New Roman" w:cs="Times New Roman"/>
          <w:sz w:val="20"/>
          <w:szCs w:val="20"/>
        </w:rPr>
        <w:t>.</w:t>
      </w:r>
    </w:p>
    <w:p w:rsidR="00E4579B" w:rsidRPr="008D37C1" w:rsidRDefault="00E4579B" w:rsidP="00C47DC0">
      <w:pPr>
        <w:pStyle w:val="CVBullet"/>
        <w:spacing w:line="276" w:lineRule="auto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8D37C1">
        <w:rPr>
          <w:rFonts w:ascii="Times New Roman" w:hAnsi="Times New Roman" w:cs="Times New Roman" w:hint="eastAsia"/>
          <w:b/>
          <w:sz w:val="20"/>
          <w:szCs w:val="20"/>
          <w:u w:val="single"/>
        </w:rPr>
        <w:t>M.Pharm Research Experience | BITS Pilani, Hyderabad Campus | 2015-2017</w:t>
      </w:r>
    </w:p>
    <w:p w:rsidR="00EA74A0" w:rsidRPr="00EA74A0" w:rsidRDefault="00EA74A0" w:rsidP="00C47DC0">
      <w:pPr>
        <w:pStyle w:val="CVBullet"/>
        <w:numPr>
          <w:ilvl w:val="0"/>
          <w:numId w:val="18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EA74A0">
        <w:rPr>
          <w:rFonts w:ascii="Times New Roman" w:hAnsi="Times New Roman" w:cs="Times New Roman"/>
          <w:sz w:val="20"/>
          <w:szCs w:val="20"/>
        </w:rPr>
        <w:t>Conducted in vivo studies in mice and rats, including animal handling, dosing, blood sampling, tissue collection, and pharmacokinetic evaluation.</w:t>
      </w:r>
    </w:p>
    <w:p w:rsidR="00EA74A0" w:rsidRPr="00EA74A0" w:rsidRDefault="00EA74A0" w:rsidP="00C47DC0">
      <w:pPr>
        <w:pStyle w:val="CVBullet"/>
        <w:numPr>
          <w:ilvl w:val="0"/>
          <w:numId w:val="18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EA74A0">
        <w:rPr>
          <w:rFonts w:ascii="Times New Roman" w:hAnsi="Times New Roman" w:cs="Times New Roman"/>
          <w:sz w:val="20"/>
          <w:szCs w:val="20"/>
        </w:rPr>
        <w:t>Conducted studies using murine melanoma and rat hypertension models to evaluate the in vivo performance of nanoparticle-based drug-delivery systems.</w:t>
      </w:r>
    </w:p>
    <w:p w:rsidR="00EA74A0" w:rsidRPr="00EA74A0" w:rsidRDefault="00EA74A0" w:rsidP="00C47DC0">
      <w:pPr>
        <w:pStyle w:val="CVBullet"/>
        <w:numPr>
          <w:ilvl w:val="0"/>
          <w:numId w:val="18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EA74A0">
        <w:rPr>
          <w:rFonts w:ascii="Times New Roman" w:hAnsi="Times New Roman" w:cs="Times New Roman"/>
          <w:sz w:val="20"/>
          <w:szCs w:val="20"/>
        </w:rPr>
        <w:t>Performed biological sample processing, drug extraction, and UPLC/HPLC-based quantitative bioanalysis to support pharmacokinetic and tissue-distribution studies.</w:t>
      </w:r>
    </w:p>
    <w:p w:rsidR="00EA74A0" w:rsidRPr="00EA74A0" w:rsidRDefault="00EA74A0" w:rsidP="00C47DC0">
      <w:pPr>
        <w:pStyle w:val="CVBullet"/>
        <w:numPr>
          <w:ilvl w:val="0"/>
          <w:numId w:val="18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EA74A0">
        <w:rPr>
          <w:rFonts w:ascii="Times New Roman" w:hAnsi="Times New Roman" w:cs="Times New Roman"/>
          <w:sz w:val="20"/>
          <w:szCs w:val="20"/>
        </w:rPr>
        <w:t>Conducted tissue-distribution studies in mice to characterize biodistribution and target-site drug exposure.</w:t>
      </w:r>
    </w:p>
    <w:p w:rsidR="00E4579B" w:rsidRPr="00E4579B" w:rsidRDefault="00EA74A0" w:rsidP="00C47DC0">
      <w:pPr>
        <w:pStyle w:val="CVBullet"/>
        <w:numPr>
          <w:ilvl w:val="0"/>
          <w:numId w:val="18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EA74A0">
        <w:rPr>
          <w:rFonts w:ascii="Times New Roman" w:hAnsi="Times New Roman" w:cs="Times New Roman"/>
          <w:sz w:val="20"/>
          <w:szCs w:val="20"/>
        </w:rPr>
        <w:t>Contributed to the development, characterization, and in vivo evaluation of advanced nanoparticle-based drug-delivery systems for oncology and cardiovascular applications.</w:t>
      </w:r>
    </w:p>
    <w:p w:rsidR="00817A48" w:rsidRPr="005C7AF1" w:rsidRDefault="00A81C8F" w:rsidP="00C47DC0">
      <w:pPr>
        <w:pStyle w:val="Heading1"/>
        <w:pBdr>
          <w:bottom w:val="single" w:sz="6" w:space="1" w:color="5B9BD5"/>
        </w:pBdr>
        <w:spacing w:line="276" w:lineRule="auto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C7AF1">
        <w:rPr>
          <w:rFonts w:ascii="Times New Roman" w:hAnsi="Times New Roman" w:cs="Times New Roman"/>
          <w:color w:val="auto"/>
          <w:sz w:val="20"/>
          <w:szCs w:val="20"/>
        </w:rPr>
        <w:t>EDUCATION</w:t>
      </w:r>
    </w:p>
    <w:p w:rsidR="00817A48" w:rsidRPr="005C7AF1" w:rsidRDefault="00A81C8F" w:rsidP="00C47DC0">
      <w:pPr>
        <w:pStyle w:val="CVBullet"/>
        <w:numPr>
          <w:ilvl w:val="0"/>
          <w:numId w:val="20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5C7AF1">
        <w:rPr>
          <w:rFonts w:ascii="Times New Roman" w:hAnsi="Times New Roman" w:cs="Times New Roman"/>
          <w:sz w:val="20"/>
          <w:szCs w:val="20"/>
        </w:rPr>
        <w:t>Ph.D., Pharmaceutical Sciences | BITS Pilani, Hyderabad Campus | 2020-2023</w:t>
      </w:r>
    </w:p>
    <w:p w:rsidR="00817A48" w:rsidRPr="005C7AF1" w:rsidRDefault="00A81C8F" w:rsidP="00C47DC0">
      <w:pPr>
        <w:pStyle w:val="CVBullet"/>
        <w:numPr>
          <w:ilvl w:val="0"/>
          <w:numId w:val="20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5C7AF1">
        <w:rPr>
          <w:rFonts w:ascii="Times New Roman" w:hAnsi="Times New Roman" w:cs="Times New Roman"/>
          <w:sz w:val="20"/>
          <w:szCs w:val="20"/>
        </w:rPr>
        <w:t>M.Pharm., Pharmaceutics | BITS Pilani, Hyderabad Campus | 2015-2017</w:t>
      </w:r>
    </w:p>
    <w:p w:rsidR="00817A48" w:rsidRPr="005C7AF1" w:rsidRDefault="00A81C8F" w:rsidP="00C47DC0">
      <w:pPr>
        <w:pStyle w:val="CVBullet"/>
        <w:numPr>
          <w:ilvl w:val="0"/>
          <w:numId w:val="20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5C7AF1">
        <w:rPr>
          <w:rFonts w:ascii="Times New Roman" w:hAnsi="Times New Roman" w:cs="Times New Roman"/>
          <w:sz w:val="20"/>
          <w:szCs w:val="20"/>
        </w:rPr>
        <w:t>B.Pharm. | Global College of Pharmacy, JNTU Hyderabad | 2010-2014</w:t>
      </w:r>
    </w:p>
    <w:p w:rsidR="00817A48" w:rsidRPr="005C7AF1" w:rsidRDefault="00A81C8F" w:rsidP="00C47DC0">
      <w:pPr>
        <w:pStyle w:val="Heading1"/>
        <w:pBdr>
          <w:bottom w:val="single" w:sz="6" w:space="1" w:color="5B9BD5"/>
        </w:pBdr>
        <w:spacing w:line="276" w:lineRule="auto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C7AF1">
        <w:rPr>
          <w:rFonts w:ascii="Times New Roman" w:hAnsi="Times New Roman" w:cs="Times New Roman"/>
          <w:color w:val="auto"/>
          <w:sz w:val="20"/>
          <w:szCs w:val="20"/>
        </w:rPr>
        <w:t>TECHNICAL TOOLS AND SCIENTIFIC PLATFORMS</w:t>
      </w:r>
    </w:p>
    <w:p w:rsidR="00817A48" w:rsidRPr="005C7AF1" w:rsidRDefault="00A81C8F" w:rsidP="00C47DC0">
      <w:pPr>
        <w:pStyle w:val="CVBullet"/>
        <w:numPr>
          <w:ilvl w:val="0"/>
          <w:numId w:val="22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5C7AF1">
        <w:rPr>
          <w:rFonts w:ascii="Times New Roman" w:hAnsi="Times New Roman" w:cs="Times New Roman"/>
          <w:sz w:val="20"/>
          <w:szCs w:val="20"/>
        </w:rPr>
        <w:t xml:space="preserve">Modeling and simulation: GastroPlus, Phoenix WinNonlin, PK-Sim; </w:t>
      </w:r>
      <w:r w:rsidR="00DC3A1F" w:rsidRPr="00DC3A1F">
        <w:rPr>
          <w:rFonts w:ascii="Times New Roman" w:hAnsi="Times New Roman" w:cs="Times New Roman" w:hint="eastAsia"/>
          <w:sz w:val="20"/>
          <w:szCs w:val="20"/>
        </w:rPr>
        <w:t>Working knowledge of population PK/PD modeling workflows in Phoenix NLME</w:t>
      </w:r>
      <w:r w:rsidRPr="005C7AF1">
        <w:rPr>
          <w:rFonts w:ascii="Times New Roman" w:hAnsi="Times New Roman" w:cs="Times New Roman"/>
          <w:sz w:val="20"/>
          <w:szCs w:val="20"/>
        </w:rPr>
        <w:t>.</w:t>
      </w:r>
    </w:p>
    <w:p w:rsidR="00817A48" w:rsidRPr="005C7AF1" w:rsidRDefault="00A81C8F" w:rsidP="00C47DC0">
      <w:pPr>
        <w:pStyle w:val="CVBullet"/>
        <w:numPr>
          <w:ilvl w:val="0"/>
          <w:numId w:val="22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5C7AF1">
        <w:rPr>
          <w:rFonts w:ascii="Times New Roman" w:hAnsi="Times New Roman" w:cs="Times New Roman"/>
          <w:sz w:val="20"/>
          <w:szCs w:val="20"/>
        </w:rPr>
        <w:t>S</w:t>
      </w:r>
      <w:r w:rsidR="00153615" w:rsidRPr="005C7AF1">
        <w:rPr>
          <w:rFonts w:ascii="Times New Roman" w:hAnsi="Times New Roman" w:cs="Times New Roman"/>
          <w:sz w:val="20"/>
          <w:szCs w:val="20"/>
        </w:rPr>
        <w:t xml:space="preserve">tatistical and programming: R, </w:t>
      </w:r>
      <w:r w:rsidRPr="005C7AF1">
        <w:rPr>
          <w:rFonts w:ascii="Times New Roman" w:hAnsi="Times New Roman" w:cs="Times New Roman"/>
          <w:sz w:val="20"/>
          <w:szCs w:val="20"/>
        </w:rPr>
        <w:t>Excel-based statistical analysis, DoE, biostatistics, and sample-size estimation.</w:t>
      </w:r>
    </w:p>
    <w:p w:rsidR="00817A48" w:rsidRPr="005C7AF1" w:rsidRDefault="00A81C8F" w:rsidP="00C47DC0">
      <w:pPr>
        <w:pStyle w:val="CVBullet"/>
        <w:numPr>
          <w:ilvl w:val="0"/>
          <w:numId w:val="22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5C7AF1">
        <w:rPr>
          <w:rFonts w:ascii="Times New Roman" w:hAnsi="Times New Roman" w:cs="Times New Roman"/>
          <w:sz w:val="20"/>
          <w:szCs w:val="20"/>
        </w:rPr>
        <w:t>Experimental and analytical: USP I/II/IV dissolution, DissoFlux, Pion micro-dissolution/real-time analysis, DSC, XRPD, HPLC/UV, and particle-characterization tools.</w:t>
      </w:r>
    </w:p>
    <w:p w:rsidR="00817A48" w:rsidRPr="005C7AF1" w:rsidRDefault="00A81C8F" w:rsidP="00C47DC0">
      <w:pPr>
        <w:pStyle w:val="CVBullet"/>
        <w:numPr>
          <w:ilvl w:val="0"/>
          <w:numId w:val="22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5C7AF1">
        <w:rPr>
          <w:rFonts w:ascii="Times New Roman" w:hAnsi="Times New Roman" w:cs="Times New Roman"/>
          <w:sz w:val="20"/>
          <w:szCs w:val="20"/>
        </w:rPr>
        <w:t>Scientific documentation: regulatory scientific reports, technical protocols, BE-risk assessments, biowaiver reports, formulation decision reports, and model-informed development summaries.</w:t>
      </w:r>
    </w:p>
    <w:p w:rsidR="00817A48" w:rsidRPr="005C7AF1" w:rsidRDefault="00A81C8F" w:rsidP="00C47DC0">
      <w:pPr>
        <w:pStyle w:val="Heading1"/>
        <w:pBdr>
          <w:bottom w:val="single" w:sz="6" w:space="1" w:color="5B9BD5"/>
        </w:pBdr>
        <w:spacing w:line="276" w:lineRule="auto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C7AF1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PEER-REVIEWED PUBLICATIONS </w:t>
      </w:r>
    </w:p>
    <w:p w:rsidR="00817A48" w:rsidRPr="005C7AF1" w:rsidRDefault="00A81C8F" w:rsidP="00C47DC0">
      <w:pPr>
        <w:spacing w:after="40" w:line="276" w:lineRule="auto"/>
        <w:ind w:left="259" w:hanging="259"/>
        <w:jc w:val="both"/>
        <w:rPr>
          <w:rFonts w:ascii="Times New Roman" w:hAnsi="Times New Roman" w:cs="Times New Roman"/>
          <w:sz w:val="20"/>
          <w:szCs w:val="20"/>
        </w:rPr>
      </w:pPr>
      <w:r w:rsidRPr="005C7AF1">
        <w:rPr>
          <w:rFonts w:ascii="Times New Roman" w:hAnsi="Times New Roman" w:cs="Times New Roman"/>
          <w:sz w:val="20"/>
          <w:szCs w:val="20"/>
        </w:rPr>
        <w:t xml:space="preserve">1. </w:t>
      </w:r>
      <w:r w:rsidRPr="005C7AF1">
        <w:rPr>
          <w:rFonts w:ascii="Times New Roman" w:hAnsi="Times New Roman" w:cs="Times New Roman"/>
          <w:b/>
          <w:sz w:val="20"/>
          <w:szCs w:val="20"/>
        </w:rPr>
        <w:t>Khan MS</w:t>
      </w:r>
      <w:r w:rsidRPr="005C7AF1">
        <w:rPr>
          <w:rFonts w:ascii="Times New Roman" w:hAnsi="Times New Roman" w:cs="Times New Roman"/>
          <w:sz w:val="20"/>
          <w:szCs w:val="20"/>
        </w:rPr>
        <w:t>, Bhutani U, Venugopal H, Saini AK, Naidu VR, Kollipara S. Emerging therapies in metabolic health: a comprehensive review of GLP-1, GIP, and glucagon agonists. Journal of Peptide Science. 2026;32(2):e70083. doi:10.1002/psc.70083.</w:t>
      </w:r>
    </w:p>
    <w:p w:rsidR="00817A48" w:rsidRPr="005C7AF1" w:rsidRDefault="00A81C8F" w:rsidP="00C47DC0">
      <w:pPr>
        <w:spacing w:after="40" w:line="276" w:lineRule="auto"/>
        <w:ind w:left="259" w:hanging="259"/>
        <w:jc w:val="both"/>
        <w:rPr>
          <w:rFonts w:ascii="Times New Roman" w:hAnsi="Times New Roman" w:cs="Times New Roman"/>
          <w:sz w:val="20"/>
          <w:szCs w:val="20"/>
        </w:rPr>
      </w:pPr>
      <w:r w:rsidRPr="005C7AF1">
        <w:rPr>
          <w:rFonts w:ascii="Times New Roman" w:hAnsi="Times New Roman" w:cs="Times New Roman"/>
          <w:sz w:val="20"/>
          <w:szCs w:val="20"/>
        </w:rPr>
        <w:t xml:space="preserve">2. Khan SM, </w:t>
      </w:r>
      <w:r w:rsidRPr="005C7AF1">
        <w:rPr>
          <w:rFonts w:ascii="Times New Roman" w:hAnsi="Times New Roman" w:cs="Times New Roman"/>
          <w:b/>
          <w:sz w:val="20"/>
          <w:szCs w:val="20"/>
        </w:rPr>
        <w:t>Khan MS</w:t>
      </w:r>
      <w:r w:rsidRPr="005C7AF1">
        <w:rPr>
          <w:rFonts w:ascii="Times New Roman" w:hAnsi="Times New Roman" w:cs="Times New Roman"/>
          <w:sz w:val="20"/>
          <w:szCs w:val="20"/>
        </w:rPr>
        <w:t>, Arumugam A, Biswas M, Saini AK, Kollipara S. Pharmacokinetic bioequivalence of semaglutide injection in healthy adults under fasting conditions: a randomized study. Journal of Clinical and Translational Research. Published online July 16, 2026. doi:10.36922/JCTR026250056.</w:t>
      </w:r>
    </w:p>
    <w:p w:rsidR="00817A48" w:rsidRPr="005C7AF1" w:rsidRDefault="00A81C8F" w:rsidP="00C47DC0">
      <w:pPr>
        <w:spacing w:after="40" w:line="276" w:lineRule="auto"/>
        <w:ind w:left="259" w:hanging="259"/>
        <w:jc w:val="both"/>
        <w:rPr>
          <w:rFonts w:ascii="Times New Roman" w:hAnsi="Times New Roman" w:cs="Times New Roman"/>
          <w:sz w:val="20"/>
          <w:szCs w:val="20"/>
        </w:rPr>
      </w:pPr>
      <w:r w:rsidRPr="005C7AF1">
        <w:rPr>
          <w:rFonts w:ascii="Times New Roman" w:hAnsi="Times New Roman" w:cs="Times New Roman"/>
          <w:sz w:val="20"/>
          <w:szCs w:val="20"/>
        </w:rPr>
        <w:t xml:space="preserve">3. </w:t>
      </w:r>
      <w:r w:rsidRPr="005C7AF1">
        <w:rPr>
          <w:rFonts w:ascii="Times New Roman" w:hAnsi="Times New Roman" w:cs="Times New Roman"/>
          <w:b/>
          <w:sz w:val="20"/>
          <w:szCs w:val="20"/>
        </w:rPr>
        <w:t>Khan MS</w:t>
      </w:r>
      <w:r w:rsidRPr="005C7AF1">
        <w:rPr>
          <w:rFonts w:ascii="Times New Roman" w:hAnsi="Times New Roman" w:cs="Times New Roman"/>
          <w:sz w:val="20"/>
          <w:szCs w:val="20"/>
        </w:rPr>
        <w:t>, Khan SM, Saini AK, Kollipara S. Comparative overview of biosimilar regulatory frameworks and international harmonization trends. Expert Opinion on Biological Therapy. 2026;26(6):587-604. doi:10.1080/14712598.2026.2689744.</w:t>
      </w:r>
    </w:p>
    <w:p w:rsidR="00817A48" w:rsidRPr="005C7AF1" w:rsidRDefault="00A81C8F" w:rsidP="00C47DC0">
      <w:pPr>
        <w:spacing w:after="40" w:line="276" w:lineRule="auto"/>
        <w:ind w:left="259" w:hanging="259"/>
        <w:jc w:val="both"/>
        <w:rPr>
          <w:rFonts w:ascii="Times New Roman" w:hAnsi="Times New Roman" w:cs="Times New Roman"/>
          <w:sz w:val="20"/>
          <w:szCs w:val="20"/>
        </w:rPr>
      </w:pPr>
      <w:r w:rsidRPr="005C7AF1">
        <w:rPr>
          <w:rFonts w:ascii="Times New Roman" w:hAnsi="Times New Roman" w:cs="Times New Roman"/>
          <w:sz w:val="20"/>
          <w:szCs w:val="20"/>
        </w:rPr>
        <w:t xml:space="preserve">4. </w:t>
      </w:r>
      <w:r w:rsidRPr="005C7AF1">
        <w:rPr>
          <w:rFonts w:ascii="Times New Roman" w:hAnsi="Times New Roman" w:cs="Times New Roman"/>
          <w:b/>
          <w:sz w:val="20"/>
          <w:szCs w:val="20"/>
        </w:rPr>
        <w:t>Khan MS</w:t>
      </w:r>
      <w:r w:rsidRPr="005C7AF1">
        <w:rPr>
          <w:rFonts w:ascii="Times New Roman" w:hAnsi="Times New Roman" w:cs="Times New Roman"/>
          <w:sz w:val="20"/>
          <w:szCs w:val="20"/>
        </w:rPr>
        <w:t>, Khan SM, Martins FS, Boddu R, Saini AK, Kollipara S. New era in bioequivalence global harmonization through ICH M13 initiative: critical review on new concepts, alternative approaches for high-risk products. Xenobiotica. 2025;55(6):464-477. doi:10.1080/00498254.2025.2535415.</w:t>
      </w:r>
    </w:p>
    <w:p w:rsidR="00817A48" w:rsidRPr="005C7AF1" w:rsidRDefault="00A81C8F" w:rsidP="00C47DC0">
      <w:pPr>
        <w:spacing w:after="40" w:line="276" w:lineRule="auto"/>
        <w:ind w:left="259" w:hanging="259"/>
        <w:jc w:val="both"/>
        <w:rPr>
          <w:rFonts w:ascii="Times New Roman" w:hAnsi="Times New Roman" w:cs="Times New Roman"/>
          <w:sz w:val="20"/>
          <w:szCs w:val="20"/>
        </w:rPr>
      </w:pPr>
      <w:r w:rsidRPr="005C7AF1">
        <w:rPr>
          <w:rFonts w:ascii="Times New Roman" w:hAnsi="Times New Roman" w:cs="Times New Roman"/>
          <w:sz w:val="20"/>
          <w:szCs w:val="20"/>
        </w:rPr>
        <w:t xml:space="preserve">5. Boddu R, Rachapally A, </w:t>
      </w:r>
      <w:r w:rsidRPr="005C7AF1">
        <w:rPr>
          <w:rFonts w:ascii="Times New Roman" w:hAnsi="Times New Roman" w:cs="Times New Roman"/>
          <w:b/>
          <w:sz w:val="20"/>
          <w:szCs w:val="20"/>
        </w:rPr>
        <w:t>Khan MS</w:t>
      </w:r>
      <w:r w:rsidRPr="005C7AF1">
        <w:rPr>
          <w:rFonts w:ascii="Times New Roman" w:hAnsi="Times New Roman" w:cs="Times New Roman"/>
          <w:sz w:val="20"/>
          <w:szCs w:val="20"/>
        </w:rPr>
        <w:t>, Khan SM, Martins FS, Saini AK, Kollipara S. Exploring additional-strength biowaiver perspectives in the ICH M13B framework for immediate-release solid oral dosage forms: opportunities and challenges. Therapeutic Innovation &amp; Regulatory Science. Published online 2025. doi:10.1007/s43441-025-00900-0.</w:t>
      </w:r>
    </w:p>
    <w:p w:rsidR="00817A48" w:rsidRPr="005C7AF1" w:rsidRDefault="00A81C8F" w:rsidP="00C47DC0">
      <w:pPr>
        <w:spacing w:after="40" w:line="276" w:lineRule="auto"/>
        <w:ind w:left="259" w:hanging="259"/>
        <w:jc w:val="both"/>
        <w:rPr>
          <w:rFonts w:ascii="Times New Roman" w:hAnsi="Times New Roman" w:cs="Times New Roman"/>
          <w:sz w:val="20"/>
          <w:szCs w:val="20"/>
        </w:rPr>
      </w:pPr>
      <w:r w:rsidRPr="005C7AF1">
        <w:rPr>
          <w:rFonts w:ascii="Times New Roman" w:hAnsi="Times New Roman" w:cs="Times New Roman"/>
          <w:sz w:val="20"/>
          <w:szCs w:val="20"/>
        </w:rPr>
        <w:t xml:space="preserve">6. </w:t>
      </w:r>
      <w:r w:rsidRPr="005C7AF1">
        <w:rPr>
          <w:rFonts w:ascii="Times New Roman" w:hAnsi="Times New Roman" w:cs="Times New Roman"/>
          <w:b/>
          <w:sz w:val="20"/>
          <w:szCs w:val="20"/>
        </w:rPr>
        <w:t>Khan MS</w:t>
      </w:r>
      <w:r w:rsidRPr="005C7AF1">
        <w:rPr>
          <w:rFonts w:ascii="Times New Roman" w:hAnsi="Times New Roman" w:cs="Times New Roman"/>
          <w:sz w:val="20"/>
          <w:szCs w:val="20"/>
        </w:rPr>
        <w:t>, Murthy A, Ahmed T. Advancements in ocular modelling and simulations: key considerations and case studies. AAPS PharmSciTech. Published online December 17, 2024. doi:10.1208/s12249-024-03001-7.</w:t>
      </w:r>
    </w:p>
    <w:p w:rsidR="00817A48" w:rsidRPr="005C7AF1" w:rsidRDefault="00A81C8F" w:rsidP="00C47DC0">
      <w:pPr>
        <w:spacing w:after="40" w:line="276" w:lineRule="auto"/>
        <w:ind w:left="259" w:hanging="259"/>
        <w:jc w:val="both"/>
        <w:rPr>
          <w:rFonts w:ascii="Times New Roman" w:hAnsi="Times New Roman" w:cs="Times New Roman"/>
          <w:sz w:val="20"/>
          <w:szCs w:val="20"/>
        </w:rPr>
      </w:pPr>
      <w:r w:rsidRPr="005C7AF1">
        <w:rPr>
          <w:rFonts w:ascii="Times New Roman" w:hAnsi="Times New Roman" w:cs="Times New Roman"/>
          <w:sz w:val="20"/>
          <w:szCs w:val="20"/>
        </w:rPr>
        <w:t xml:space="preserve">7. Rawat PS, Ravi PR, </w:t>
      </w:r>
      <w:r w:rsidRPr="005C7AF1">
        <w:rPr>
          <w:rFonts w:ascii="Times New Roman" w:hAnsi="Times New Roman" w:cs="Times New Roman"/>
          <w:b/>
          <w:sz w:val="20"/>
          <w:szCs w:val="20"/>
        </w:rPr>
        <w:t>Khan MS</w:t>
      </w:r>
      <w:r w:rsidRPr="005C7AF1">
        <w:rPr>
          <w:rFonts w:ascii="Times New Roman" w:hAnsi="Times New Roman" w:cs="Times New Roman"/>
          <w:sz w:val="20"/>
          <w:szCs w:val="20"/>
        </w:rPr>
        <w:t>, Mahajan RR, Szeleszczuk L. Nebivolol polymeric nanoparticles-loaded in situ gel for effective treatment of glaucoma: optimization, physicochemical characterization, and pharmacokinetic and pharmacodynamic evaluation. Nanomaterials. 2024;14(16):1347. doi:10.3390/nano14161347.</w:t>
      </w:r>
    </w:p>
    <w:p w:rsidR="00817A48" w:rsidRPr="005C7AF1" w:rsidRDefault="00A81C8F" w:rsidP="00C47DC0">
      <w:pPr>
        <w:spacing w:after="40" w:line="276" w:lineRule="auto"/>
        <w:ind w:left="259" w:hanging="259"/>
        <w:jc w:val="both"/>
        <w:rPr>
          <w:rFonts w:ascii="Times New Roman" w:hAnsi="Times New Roman" w:cs="Times New Roman"/>
          <w:sz w:val="20"/>
          <w:szCs w:val="20"/>
        </w:rPr>
      </w:pPr>
      <w:r w:rsidRPr="005C7AF1">
        <w:rPr>
          <w:rFonts w:ascii="Times New Roman" w:hAnsi="Times New Roman" w:cs="Times New Roman"/>
          <w:sz w:val="20"/>
          <w:szCs w:val="20"/>
        </w:rPr>
        <w:t xml:space="preserve">8. Rawat PS, Ravi PR, Mir SI, </w:t>
      </w:r>
      <w:r w:rsidRPr="005C7AF1">
        <w:rPr>
          <w:rFonts w:ascii="Times New Roman" w:hAnsi="Times New Roman" w:cs="Times New Roman"/>
          <w:b/>
          <w:sz w:val="20"/>
          <w:szCs w:val="20"/>
        </w:rPr>
        <w:t>Khan MS</w:t>
      </w:r>
      <w:r w:rsidRPr="005C7AF1">
        <w:rPr>
          <w:rFonts w:ascii="Times New Roman" w:hAnsi="Times New Roman" w:cs="Times New Roman"/>
          <w:sz w:val="20"/>
          <w:szCs w:val="20"/>
        </w:rPr>
        <w:t>, Kathuria H, Katnapally P, Bhatnagar U. Design, characterization and pharmacokinetic-pharmacodynamic evaluation of poloxamer and kappa-carrageenan-based dual-responsive in situ gel of nebivolol for treatment of open-angle glaucoma. Pharmaceutics. 2023;15(2):405. doi:10.3390/pharmaceutics15020405.</w:t>
      </w:r>
    </w:p>
    <w:p w:rsidR="00817A48" w:rsidRPr="005C7AF1" w:rsidRDefault="00A81C8F" w:rsidP="00C47DC0">
      <w:pPr>
        <w:spacing w:after="40" w:line="276" w:lineRule="auto"/>
        <w:ind w:left="259" w:hanging="259"/>
        <w:jc w:val="both"/>
        <w:rPr>
          <w:rFonts w:ascii="Times New Roman" w:hAnsi="Times New Roman" w:cs="Times New Roman"/>
          <w:sz w:val="20"/>
          <w:szCs w:val="20"/>
        </w:rPr>
      </w:pPr>
      <w:r w:rsidRPr="005C7AF1">
        <w:rPr>
          <w:rFonts w:ascii="Times New Roman" w:hAnsi="Times New Roman" w:cs="Times New Roman"/>
          <w:sz w:val="20"/>
          <w:szCs w:val="20"/>
        </w:rPr>
        <w:t xml:space="preserve">9. </w:t>
      </w:r>
      <w:r w:rsidRPr="005C7AF1">
        <w:rPr>
          <w:rFonts w:ascii="Times New Roman" w:hAnsi="Times New Roman" w:cs="Times New Roman"/>
          <w:b/>
          <w:sz w:val="20"/>
          <w:szCs w:val="20"/>
        </w:rPr>
        <w:t>Khan MS</w:t>
      </w:r>
      <w:r w:rsidRPr="005C7AF1">
        <w:rPr>
          <w:rFonts w:ascii="Times New Roman" w:hAnsi="Times New Roman" w:cs="Times New Roman"/>
          <w:sz w:val="20"/>
          <w:szCs w:val="20"/>
        </w:rPr>
        <w:t>, Ravi PR, Mir SI, Rawat PS. Optimization and in vivo evaluation of triamcinolone acetonide-loaded in situ gel prepared using reacted tamarind seed xyloglucan and kappa-carrageenan for ocular delivery. International Journal of Biological Macromolecules. 2023;233:123533. doi:10.1016/j.ijbiomac.2023.123533.</w:t>
      </w:r>
    </w:p>
    <w:p w:rsidR="00817A48" w:rsidRPr="005C7AF1" w:rsidRDefault="00A81C8F" w:rsidP="00C47DC0">
      <w:pPr>
        <w:spacing w:after="40" w:line="276" w:lineRule="auto"/>
        <w:ind w:left="259" w:hanging="259"/>
        <w:jc w:val="both"/>
        <w:rPr>
          <w:rFonts w:ascii="Times New Roman" w:hAnsi="Times New Roman" w:cs="Times New Roman"/>
          <w:sz w:val="20"/>
          <w:szCs w:val="20"/>
        </w:rPr>
      </w:pPr>
      <w:r w:rsidRPr="005C7AF1">
        <w:rPr>
          <w:rFonts w:ascii="Times New Roman" w:hAnsi="Times New Roman" w:cs="Times New Roman"/>
          <w:sz w:val="20"/>
          <w:szCs w:val="20"/>
        </w:rPr>
        <w:t xml:space="preserve">10. </w:t>
      </w:r>
      <w:r w:rsidRPr="005C7AF1">
        <w:rPr>
          <w:rFonts w:ascii="Times New Roman" w:hAnsi="Times New Roman" w:cs="Times New Roman"/>
          <w:b/>
          <w:sz w:val="20"/>
          <w:szCs w:val="20"/>
        </w:rPr>
        <w:t>Khan MS</w:t>
      </w:r>
      <w:r w:rsidRPr="005C7AF1">
        <w:rPr>
          <w:rFonts w:ascii="Times New Roman" w:hAnsi="Times New Roman" w:cs="Times New Roman"/>
          <w:sz w:val="20"/>
          <w:szCs w:val="20"/>
        </w:rPr>
        <w:t>, Ravi PR, Dhavan DS. Design, optimization and pharmacokinetic evaluation of PLGA-phosphatidylcholine hybrid nanoparticles of triamcinolone acetonide loaded in situ gel for topical ocular delivery. International Journal of Pharmaceutics. 2023;647:123530. doi:10.1016/j.ijpharm.2023.123530.</w:t>
      </w:r>
    </w:p>
    <w:p w:rsidR="00817A48" w:rsidRPr="005C7AF1" w:rsidRDefault="00A81C8F" w:rsidP="00C47DC0">
      <w:pPr>
        <w:spacing w:after="40" w:line="276" w:lineRule="auto"/>
        <w:ind w:left="259" w:hanging="259"/>
        <w:jc w:val="both"/>
        <w:rPr>
          <w:rFonts w:ascii="Times New Roman" w:hAnsi="Times New Roman" w:cs="Times New Roman"/>
          <w:sz w:val="20"/>
          <w:szCs w:val="20"/>
        </w:rPr>
      </w:pPr>
      <w:r w:rsidRPr="005C7AF1">
        <w:rPr>
          <w:rFonts w:ascii="Times New Roman" w:hAnsi="Times New Roman" w:cs="Times New Roman"/>
          <w:sz w:val="20"/>
          <w:szCs w:val="20"/>
        </w:rPr>
        <w:t xml:space="preserve">11. </w:t>
      </w:r>
      <w:r w:rsidRPr="005C7AF1">
        <w:rPr>
          <w:rFonts w:ascii="Times New Roman" w:hAnsi="Times New Roman" w:cs="Times New Roman"/>
          <w:b/>
          <w:sz w:val="20"/>
          <w:szCs w:val="20"/>
        </w:rPr>
        <w:t>Khan MS</w:t>
      </w:r>
      <w:r w:rsidRPr="005C7AF1">
        <w:rPr>
          <w:rFonts w:ascii="Times New Roman" w:hAnsi="Times New Roman" w:cs="Times New Roman"/>
          <w:sz w:val="20"/>
          <w:szCs w:val="20"/>
        </w:rPr>
        <w:t>, Ravi PR, Dhavan DS. Design, optimization, in vitro and in vivo evaluation of triamcinolone acetonide nanocrystals loaded in situ gel for topical ocular delivery. Colloids and Surfaces B: Biointerfaces. 2023;231:113539. doi:10.1016/j.colsurfb.2023.113539.</w:t>
      </w:r>
    </w:p>
    <w:p w:rsidR="00817A48" w:rsidRPr="005C7AF1" w:rsidRDefault="00A81C8F" w:rsidP="00C47DC0">
      <w:pPr>
        <w:spacing w:after="40" w:line="276" w:lineRule="auto"/>
        <w:ind w:left="259" w:hanging="259"/>
        <w:jc w:val="both"/>
        <w:rPr>
          <w:rFonts w:ascii="Times New Roman" w:hAnsi="Times New Roman" w:cs="Times New Roman"/>
          <w:sz w:val="20"/>
          <w:szCs w:val="20"/>
        </w:rPr>
      </w:pPr>
      <w:r w:rsidRPr="005C7AF1">
        <w:rPr>
          <w:rFonts w:ascii="Times New Roman" w:hAnsi="Times New Roman" w:cs="Times New Roman"/>
          <w:sz w:val="20"/>
          <w:szCs w:val="20"/>
        </w:rPr>
        <w:t xml:space="preserve">12. Mahajan R, Ravi PR, </w:t>
      </w:r>
      <w:r w:rsidRPr="005C7AF1">
        <w:rPr>
          <w:rFonts w:ascii="Times New Roman" w:hAnsi="Times New Roman" w:cs="Times New Roman"/>
          <w:b/>
          <w:sz w:val="20"/>
          <w:szCs w:val="20"/>
        </w:rPr>
        <w:t>Khan MS</w:t>
      </w:r>
      <w:r w:rsidRPr="005C7AF1">
        <w:rPr>
          <w:rFonts w:ascii="Times New Roman" w:hAnsi="Times New Roman" w:cs="Times New Roman"/>
          <w:sz w:val="20"/>
          <w:szCs w:val="20"/>
        </w:rPr>
        <w:t>. Optimization of an HPLC-UV bioanalytical method using Box-Behnken design to determine the oral pharmacokinetics of neratinib maleate in Wistar rats. Biomedical Chromatography. 2023;37(11):e5731. doi:10.1002/bmc.5731.</w:t>
      </w:r>
    </w:p>
    <w:p w:rsidR="00817A48" w:rsidRPr="005C7AF1" w:rsidRDefault="00A81C8F" w:rsidP="00C47DC0">
      <w:pPr>
        <w:spacing w:after="40" w:line="276" w:lineRule="auto"/>
        <w:ind w:left="259" w:hanging="259"/>
        <w:jc w:val="both"/>
        <w:rPr>
          <w:rFonts w:ascii="Times New Roman" w:hAnsi="Times New Roman" w:cs="Times New Roman"/>
          <w:sz w:val="20"/>
          <w:szCs w:val="20"/>
        </w:rPr>
      </w:pPr>
      <w:r w:rsidRPr="005C7AF1">
        <w:rPr>
          <w:rFonts w:ascii="Times New Roman" w:hAnsi="Times New Roman" w:cs="Times New Roman"/>
          <w:sz w:val="20"/>
          <w:szCs w:val="20"/>
        </w:rPr>
        <w:t xml:space="preserve">13. </w:t>
      </w:r>
      <w:r w:rsidRPr="005C7AF1">
        <w:rPr>
          <w:rFonts w:ascii="Times New Roman" w:hAnsi="Times New Roman" w:cs="Times New Roman"/>
          <w:b/>
          <w:sz w:val="20"/>
          <w:szCs w:val="20"/>
        </w:rPr>
        <w:t>Khan MS</w:t>
      </w:r>
      <w:r w:rsidRPr="005C7AF1">
        <w:rPr>
          <w:rFonts w:ascii="Times New Roman" w:hAnsi="Times New Roman" w:cs="Times New Roman"/>
          <w:sz w:val="20"/>
          <w:szCs w:val="20"/>
        </w:rPr>
        <w:t>, Ravi PR, Mullapudi TVR. Dose identification of triamcinolone acetonide for noninvasive pre-corneal administration in the treatment of posterior uveitis using a rapid, sensitive HPLC method with photodiode-array detector. Biomedical Chromatography. 2022;36(2):e5264. doi:10.1002/bmc.5264.</w:t>
      </w:r>
    </w:p>
    <w:p w:rsidR="00817A48" w:rsidRPr="005C7AF1" w:rsidRDefault="00A81C8F" w:rsidP="00C47DC0">
      <w:pPr>
        <w:spacing w:after="40" w:line="276" w:lineRule="auto"/>
        <w:ind w:left="259" w:hanging="259"/>
        <w:jc w:val="both"/>
        <w:rPr>
          <w:rFonts w:ascii="Times New Roman" w:hAnsi="Times New Roman" w:cs="Times New Roman"/>
          <w:sz w:val="20"/>
          <w:szCs w:val="20"/>
        </w:rPr>
      </w:pPr>
      <w:r w:rsidRPr="005C7AF1">
        <w:rPr>
          <w:rFonts w:ascii="Times New Roman" w:hAnsi="Times New Roman" w:cs="Times New Roman"/>
          <w:sz w:val="20"/>
          <w:szCs w:val="20"/>
        </w:rPr>
        <w:t xml:space="preserve">14. Diwan R, </w:t>
      </w:r>
      <w:r w:rsidRPr="005C7AF1">
        <w:rPr>
          <w:rFonts w:ascii="Times New Roman" w:hAnsi="Times New Roman" w:cs="Times New Roman"/>
          <w:b/>
          <w:sz w:val="20"/>
          <w:szCs w:val="20"/>
        </w:rPr>
        <w:t>Khan S</w:t>
      </w:r>
      <w:r w:rsidRPr="005C7AF1">
        <w:rPr>
          <w:rFonts w:ascii="Times New Roman" w:hAnsi="Times New Roman" w:cs="Times New Roman"/>
          <w:sz w:val="20"/>
          <w:szCs w:val="20"/>
        </w:rPr>
        <w:t>, Ravi PR. Comparative study of cilnidipine-loaded PLGA nanoparticles: process optimization by DoE, physicochemical characterization, and in vivo evaluation. Drug Delivery and Translational Research. 2020;10(5):1442-1458. doi:10.1007/s13346-020-00732-5.</w:t>
      </w:r>
    </w:p>
    <w:p w:rsidR="00817A48" w:rsidRPr="005C7AF1" w:rsidRDefault="00A81C8F" w:rsidP="00C47DC0">
      <w:pPr>
        <w:spacing w:after="40" w:line="276" w:lineRule="auto"/>
        <w:ind w:left="259" w:hanging="259"/>
        <w:jc w:val="both"/>
        <w:rPr>
          <w:rFonts w:ascii="Times New Roman" w:hAnsi="Times New Roman" w:cs="Times New Roman"/>
          <w:sz w:val="20"/>
          <w:szCs w:val="20"/>
        </w:rPr>
      </w:pPr>
      <w:r w:rsidRPr="005C7AF1">
        <w:rPr>
          <w:rFonts w:ascii="Times New Roman" w:hAnsi="Times New Roman" w:cs="Times New Roman"/>
          <w:sz w:val="20"/>
          <w:szCs w:val="20"/>
        </w:rPr>
        <w:t xml:space="preserve">15. Labala S, Jose A, Chawla SR, </w:t>
      </w:r>
      <w:r w:rsidRPr="005C7AF1">
        <w:rPr>
          <w:rFonts w:ascii="Times New Roman" w:hAnsi="Times New Roman" w:cs="Times New Roman"/>
          <w:b/>
          <w:sz w:val="20"/>
          <w:szCs w:val="20"/>
        </w:rPr>
        <w:t>Khan MS</w:t>
      </w:r>
      <w:r w:rsidRPr="005C7AF1">
        <w:rPr>
          <w:rFonts w:ascii="Times New Roman" w:hAnsi="Times New Roman" w:cs="Times New Roman"/>
          <w:sz w:val="20"/>
          <w:szCs w:val="20"/>
        </w:rPr>
        <w:t>, Bhatnagar S, Kulkarni OP, Venuganti VVK. Effective melanoma cancer suppression by iontophoretic co-delivery of STAT3 siRNA and imatinib using gold nanoparticles. International Journal of Pharmaceutics. 2017;525(2):407-417. doi:10.1016/j.ijpharm.2017.03.087.</w:t>
      </w:r>
    </w:p>
    <w:p w:rsidR="00817A48" w:rsidRPr="005C7AF1" w:rsidRDefault="00A81C8F" w:rsidP="00C47DC0">
      <w:pPr>
        <w:pStyle w:val="Heading1"/>
        <w:pBdr>
          <w:bottom w:val="single" w:sz="6" w:space="1" w:color="5B9BD5"/>
        </w:pBdr>
        <w:spacing w:line="276" w:lineRule="auto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C7AF1">
        <w:rPr>
          <w:rFonts w:ascii="Times New Roman" w:hAnsi="Times New Roman" w:cs="Times New Roman"/>
          <w:color w:val="auto"/>
          <w:sz w:val="20"/>
          <w:szCs w:val="20"/>
        </w:rPr>
        <w:t>SELECTED PROFESSIONAL DEVELOPMENT</w:t>
      </w:r>
    </w:p>
    <w:p w:rsidR="00817A48" w:rsidRPr="005C7AF1" w:rsidRDefault="00A81C8F" w:rsidP="00C47DC0">
      <w:pPr>
        <w:pStyle w:val="CVBullet"/>
        <w:numPr>
          <w:ilvl w:val="0"/>
          <w:numId w:val="24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5C7AF1">
        <w:rPr>
          <w:rFonts w:ascii="Times New Roman" w:hAnsi="Times New Roman" w:cs="Times New Roman"/>
          <w:sz w:val="20"/>
          <w:szCs w:val="20"/>
        </w:rPr>
        <w:t>PBPK Using PK-Sim Software, 2-day workshop: model fundamentals, model development, and special populations including pediatric, neonatal/preterm, and renal impairment; December 2022.</w:t>
      </w:r>
    </w:p>
    <w:p w:rsidR="00817A48" w:rsidRPr="005C7AF1" w:rsidRDefault="00A81C8F" w:rsidP="00C47DC0">
      <w:pPr>
        <w:pStyle w:val="CVBullet"/>
        <w:numPr>
          <w:ilvl w:val="0"/>
          <w:numId w:val="24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5C7AF1">
        <w:rPr>
          <w:rFonts w:ascii="Times New Roman" w:hAnsi="Times New Roman" w:cs="Times New Roman"/>
          <w:sz w:val="20"/>
          <w:szCs w:val="20"/>
        </w:rPr>
        <w:t>JMP Statistical Software for Pharmaceutical Sciences: data visualization, biostatistics, DoE, and dissolution; November 2022.</w:t>
      </w:r>
    </w:p>
    <w:p w:rsidR="00817A48" w:rsidRPr="005C7AF1" w:rsidRDefault="00A81C8F" w:rsidP="00C47DC0">
      <w:pPr>
        <w:pStyle w:val="CVBullet"/>
        <w:numPr>
          <w:ilvl w:val="0"/>
          <w:numId w:val="24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0"/>
          <w:szCs w:val="20"/>
        </w:rPr>
      </w:pPr>
      <w:r w:rsidRPr="005C7AF1">
        <w:rPr>
          <w:rFonts w:ascii="Times New Roman" w:hAnsi="Times New Roman" w:cs="Times New Roman"/>
          <w:sz w:val="20"/>
          <w:szCs w:val="20"/>
        </w:rPr>
        <w:t>Exploring Chromatography and Mass Spectrometry, 4-day workshop organized by Shimadzu and Spinco Biotech with BITS Pilani, Hyderabad Campus; June 2019.</w:t>
      </w:r>
    </w:p>
    <w:sectPr w:rsidR="00817A48" w:rsidRPr="005C7AF1" w:rsidSect="004E26FE">
      <w:pgSz w:w="11906" w:h="16838" w:code="9"/>
      <w:pgMar w:top="851" w:right="1080" w:bottom="993" w:left="108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1768" w:rsidRDefault="00F81768">
      <w:pPr>
        <w:spacing w:after="0" w:line="240" w:lineRule="auto"/>
      </w:pPr>
      <w:r>
        <w:separator/>
      </w:r>
    </w:p>
  </w:endnote>
  <w:endnote w:type="continuationSeparator" w:id="0">
    <w:p w:rsidR="00F81768" w:rsidRDefault="00F8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1768" w:rsidRDefault="00F81768">
      <w:pPr>
        <w:spacing w:after="0" w:line="240" w:lineRule="auto"/>
      </w:pPr>
      <w:r>
        <w:separator/>
      </w:r>
    </w:p>
  </w:footnote>
  <w:footnote w:type="continuationSeparator" w:id="0">
    <w:p w:rsidR="00F81768" w:rsidRDefault="00F817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30942"/>
    <w:multiLevelType w:val="hybridMultilevel"/>
    <w:tmpl w:val="B05C63D4"/>
    <w:lvl w:ilvl="0" w:tplc="701C4B98">
      <w:numFmt w:val="bullet"/>
      <w:lvlText w:val="•"/>
      <w:lvlJc w:val="left"/>
      <w:pPr>
        <w:ind w:left="50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0" w15:restartNumberingAfterBreak="0">
    <w:nsid w:val="085140AE"/>
    <w:multiLevelType w:val="hybridMultilevel"/>
    <w:tmpl w:val="1DFE0246"/>
    <w:lvl w:ilvl="0" w:tplc="701C4B98">
      <w:numFmt w:val="bullet"/>
      <w:lvlText w:val="•"/>
      <w:lvlJc w:val="left"/>
      <w:pPr>
        <w:ind w:left="50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08A83337"/>
    <w:multiLevelType w:val="hybridMultilevel"/>
    <w:tmpl w:val="29620D78"/>
    <w:lvl w:ilvl="0" w:tplc="701C4B98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C925F0"/>
    <w:multiLevelType w:val="hybridMultilevel"/>
    <w:tmpl w:val="2C8EA07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11872E41"/>
    <w:multiLevelType w:val="hybridMultilevel"/>
    <w:tmpl w:val="58FAE7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EB2228"/>
    <w:multiLevelType w:val="hybridMultilevel"/>
    <w:tmpl w:val="056A2A48"/>
    <w:lvl w:ilvl="0" w:tplc="701C4B98">
      <w:numFmt w:val="bullet"/>
      <w:lvlText w:val="•"/>
      <w:lvlJc w:val="left"/>
      <w:pPr>
        <w:ind w:left="50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5" w15:restartNumberingAfterBreak="0">
    <w:nsid w:val="1A7B03D6"/>
    <w:multiLevelType w:val="hybridMultilevel"/>
    <w:tmpl w:val="BC465304"/>
    <w:lvl w:ilvl="0" w:tplc="701C4B98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94C15CA"/>
    <w:multiLevelType w:val="hybridMultilevel"/>
    <w:tmpl w:val="2DDA8304"/>
    <w:lvl w:ilvl="0" w:tplc="701C4B98">
      <w:numFmt w:val="bullet"/>
      <w:lvlText w:val="•"/>
      <w:lvlJc w:val="left"/>
      <w:pPr>
        <w:ind w:left="50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7" w15:restartNumberingAfterBreak="0">
    <w:nsid w:val="2B5F0560"/>
    <w:multiLevelType w:val="hybridMultilevel"/>
    <w:tmpl w:val="DBC81D4E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8" w15:restartNumberingAfterBreak="0">
    <w:nsid w:val="2C544BD3"/>
    <w:multiLevelType w:val="hybridMultilevel"/>
    <w:tmpl w:val="42F4DB1A"/>
    <w:lvl w:ilvl="0" w:tplc="701C4B98">
      <w:numFmt w:val="bullet"/>
      <w:lvlText w:val="•"/>
      <w:lvlJc w:val="left"/>
      <w:pPr>
        <w:ind w:left="50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9" w15:restartNumberingAfterBreak="0">
    <w:nsid w:val="37BB2CF3"/>
    <w:multiLevelType w:val="hybridMultilevel"/>
    <w:tmpl w:val="51EE96F6"/>
    <w:lvl w:ilvl="0" w:tplc="701C4B98">
      <w:numFmt w:val="bullet"/>
      <w:lvlText w:val="•"/>
      <w:lvlJc w:val="left"/>
      <w:pPr>
        <w:ind w:left="50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0" w15:restartNumberingAfterBreak="0">
    <w:nsid w:val="3C751EA0"/>
    <w:multiLevelType w:val="hybridMultilevel"/>
    <w:tmpl w:val="9A74C826"/>
    <w:lvl w:ilvl="0" w:tplc="701C4B98">
      <w:numFmt w:val="bullet"/>
      <w:lvlText w:val="•"/>
      <w:lvlJc w:val="left"/>
      <w:pPr>
        <w:ind w:left="432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1" w15:restartNumberingAfterBreak="0">
    <w:nsid w:val="3E0E6910"/>
    <w:multiLevelType w:val="hybridMultilevel"/>
    <w:tmpl w:val="B2A0587C"/>
    <w:lvl w:ilvl="0" w:tplc="701C4B98">
      <w:numFmt w:val="bullet"/>
      <w:lvlText w:val="•"/>
      <w:lvlJc w:val="left"/>
      <w:pPr>
        <w:ind w:left="648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2" w15:restartNumberingAfterBreak="0">
    <w:nsid w:val="49F62601"/>
    <w:multiLevelType w:val="hybridMultilevel"/>
    <w:tmpl w:val="6ED0AB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EE7B13"/>
    <w:multiLevelType w:val="hybridMultilevel"/>
    <w:tmpl w:val="9B14CA0E"/>
    <w:lvl w:ilvl="0" w:tplc="701C4B98">
      <w:numFmt w:val="bullet"/>
      <w:lvlText w:val="•"/>
      <w:lvlJc w:val="left"/>
      <w:pPr>
        <w:ind w:left="50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4" w15:restartNumberingAfterBreak="0">
    <w:nsid w:val="50CD0529"/>
    <w:multiLevelType w:val="hybridMultilevel"/>
    <w:tmpl w:val="4EF0A42E"/>
    <w:lvl w:ilvl="0" w:tplc="701C4B98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3B339C"/>
    <w:multiLevelType w:val="hybridMultilevel"/>
    <w:tmpl w:val="5A969B6C"/>
    <w:lvl w:ilvl="0" w:tplc="701C4B98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6D40BB"/>
    <w:multiLevelType w:val="hybridMultilevel"/>
    <w:tmpl w:val="EC6C7DC4"/>
    <w:lvl w:ilvl="0" w:tplc="701C4B98">
      <w:numFmt w:val="bullet"/>
      <w:lvlText w:val="•"/>
      <w:lvlJc w:val="left"/>
      <w:pPr>
        <w:ind w:left="50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7" w15:restartNumberingAfterBreak="0">
    <w:nsid w:val="539D6425"/>
    <w:multiLevelType w:val="hybridMultilevel"/>
    <w:tmpl w:val="31FA922A"/>
    <w:lvl w:ilvl="0" w:tplc="701C4B98">
      <w:numFmt w:val="bullet"/>
      <w:lvlText w:val="•"/>
      <w:lvlJc w:val="left"/>
      <w:pPr>
        <w:ind w:left="50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8" w15:restartNumberingAfterBreak="0">
    <w:nsid w:val="56DC02CF"/>
    <w:multiLevelType w:val="hybridMultilevel"/>
    <w:tmpl w:val="E69A36FC"/>
    <w:lvl w:ilvl="0" w:tplc="701C4B98">
      <w:numFmt w:val="bullet"/>
      <w:lvlText w:val="•"/>
      <w:lvlJc w:val="left"/>
      <w:pPr>
        <w:ind w:left="50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9" w15:restartNumberingAfterBreak="0">
    <w:nsid w:val="571B0127"/>
    <w:multiLevelType w:val="hybridMultilevel"/>
    <w:tmpl w:val="A76665EC"/>
    <w:lvl w:ilvl="0" w:tplc="701C4B98">
      <w:numFmt w:val="bullet"/>
      <w:lvlText w:val="•"/>
      <w:lvlJc w:val="left"/>
      <w:pPr>
        <w:ind w:left="50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0" w15:restartNumberingAfterBreak="0">
    <w:nsid w:val="60607B70"/>
    <w:multiLevelType w:val="hybridMultilevel"/>
    <w:tmpl w:val="759204CE"/>
    <w:lvl w:ilvl="0" w:tplc="701C4B98">
      <w:numFmt w:val="bullet"/>
      <w:lvlText w:val="•"/>
      <w:lvlJc w:val="left"/>
      <w:pPr>
        <w:ind w:left="50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1" w15:restartNumberingAfterBreak="0">
    <w:nsid w:val="6D8F4A40"/>
    <w:multiLevelType w:val="hybridMultilevel"/>
    <w:tmpl w:val="7CC866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F207C6"/>
    <w:multiLevelType w:val="hybridMultilevel"/>
    <w:tmpl w:val="E5C42492"/>
    <w:lvl w:ilvl="0" w:tplc="701C4B98">
      <w:numFmt w:val="bullet"/>
      <w:lvlText w:val="•"/>
      <w:lvlJc w:val="left"/>
      <w:pPr>
        <w:ind w:left="100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76144043"/>
    <w:multiLevelType w:val="hybridMultilevel"/>
    <w:tmpl w:val="1D1E517A"/>
    <w:lvl w:ilvl="0" w:tplc="701C4B98">
      <w:numFmt w:val="bullet"/>
      <w:lvlText w:val="•"/>
      <w:lvlJc w:val="left"/>
      <w:pPr>
        <w:ind w:left="504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20"/>
  </w:num>
  <w:num w:numId="12">
    <w:abstractNumId w:val="33"/>
  </w:num>
  <w:num w:numId="13">
    <w:abstractNumId w:val="23"/>
  </w:num>
  <w:num w:numId="14">
    <w:abstractNumId w:val="14"/>
  </w:num>
  <w:num w:numId="15">
    <w:abstractNumId w:val="16"/>
  </w:num>
  <w:num w:numId="16">
    <w:abstractNumId w:val="30"/>
  </w:num>
  <w:num w:numId="17">
    <w:abstractNumId w:val="26"/>
  </w:num>
  <w:num w:numId="18">
    <w:abstractNumId w:val="19"/>
  </w:num>
  <w:num w:numId="19">
    <w:abstractNumId w:val="9"/>
  </w:num>
  <w:num w:numId="20">
    <w:abstractNumId w:val="18"/>
  </w:num>
  <w:num w:numId="21">
    <w:abstractNumId w:val="10"/>
  </w:num>
  <w:num w:numId="22">
    <w:abstractNumId w:val="27"/>
  </w:num>
  <w:num w:numId="23">
    <w:abstractNumId w:val="28"/>
  </w:num>
  <w:num w:numId="24">
    <w:abstractNumId w:val="29"/>
  </w:num>
  <w:num w:numId="25">
    <w:abstractNumId w:val="21"/>
  </w:num>
  <w:num w:numId="26">
    <w:abstractNumId w:val="31"/>
  </w:num>
  <w:num w:numId="27">
    <w:abstractNumId w:val="22"/>
  </w:num>
  <w:num w:numId="28">
    <w:abstractNumId w:val="13"/>
  </w:num>
  <w:num w:numId="29">
    <w:abstractNumId w:val="25"/>
  </w:num>
  <w:num w:numId="30">
    <w:abstractNumId w:val="12"/>
  </w:num>
  <w:num w:numId="31">
    <w:abstractNumId w:val="32"/>
  </w:num>
  <w:num w:numId="32">
    <w:abstractNumId w:val="24"/>
  </w:num>
  <w:num w:numId="33">
    <w:abstractNumId w:val="11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0E39"/>
    <w:rsid w:val="00034616"/>
    <w:rsid w:val="0004403B"/>
    <w:rsid w:val="0006063C"/>
    <w:rsid w:val="00063B44"/>
    <w:rsid w:val="000F1312"/>
    <w:rsid w:val="0015074B"/>
    <w:rsid w:val="00153615"/>
    <w:rsid w:val="001A0919"/>
    <w:rsid w:val="001F4998"/>
    <w:rsid w:val="002502BC"/>
    <w:rsid w:val="0025734A"/>
    <w:rsid w:val="0026095A"/>
    <w:rsid w:val="002616E8"/>
    <w:rsid w:val="0029639D"/>
    <w:rsid w:val="002E7337"/>
    <w:rsid w:val="00324AB7"/>
    <w:rsid w:val="00326F90"/>
    <w:rsid w:val="00366466"/>
    <w:rsid w:val="003800B2"/>
    <w:rsid w:val="00393246"/>
    <w:rsid w:val="003C5F3C"/>
    <w:rsid w:val="003E3A7E"/>
    <w:rsid w:val="003E60A4"/>
    <w:rsid w:val="004D7726"/>
    <w:rsid w:val="004E26FE"/>
    <w:rsid w:val="004F25C2"/>
    <w:rsid w:val="00504367"/>
    <w:rsid w:val="00523AA9"/>
    <w:rsid w:val="00552BAC"/>
    <w:rsid w:val="005A4127"/>
    <w:rsid w:val="005C7AF1"/>
    <w:rsid w:val="005E6527"/>
    <w:rsid w:val="005F065A"/>
    <w:rsid w:val="00611944"/>
    <w:rsid w:val="006127FD"/>
    <w:rsid w:val="00651D9C"/>
    <w:rsid w:val="00653574"/>
    <w:rsid w:val="00690681"/>
    <w:rsid w:val="006976AA"/>
    <w:rsid w:val="006B769F"/>
    <w:rsid w:val="0072182E"/>
    <w:rsid w:val="007429DF"/>
    <w:rsid w:val="007468F0"/>
    <w:rsid w:val="00754386"/>
    <w:rsid w:val="007651D0"/>
    <w:rsid w:val="007F64C2"/>
    <w:rsid w:val="00812683"/>
    <w:rsid w:val="00817A48"/>
    <w:rsid w:val="00861D21"/>
    <w:rsid w:val="00872A25"/>
    <w:rsid w:val="00880364"/>
    <w:rsid w:val="00880B6A"/>
    <w:rsid w:val="008B1BC8"/>
    <w:rsid w:val="008C490B"/>
    <w:rsid w:val="008D2929"/>
    <w:rsid w:val="008D37C1"/>
    <w:rsid w:val="008F1DB9"/>
    <w:rsid w:val="00911664"/>
    <w:rsid w:val="00914536"/>
    <w:rsid w:val="0099414B"/>
    <w:rsid w:val="009A3D61"/>
    <w:rsid w:val="009B2FDF"/>
    <w:rsid w:val="00A07C8C"/>
    <w:rsid w:val="00A16E8D"/>
    <w:rsid w:val="00A4734E"/>
    <w:rsid w:val="00A5155F"/>
    <w:rsid w:val="00A72F5A"/>
    <w:rsid w:val="00A81C8F"/>
    <w:rsid w:val="00AA1D8D"/>
    <w:rsid w:val="00AA747A"/>
    <w:rsid w:val="00AE1B05"/>
    <w:rsid w:val="00B47730"/>
    <w:rsid w:val="00BB6329"/>
    <w:rsid w:val="00BC5142"/>
    <w:rsid w:val="00C13494"/>
    <w:rsid w:val="00C469D1"/>
    <w:rsid w:val="00C47DC0"/>
    <w:rsid w:val="00C73011"/>
    <w:rsid w:val="00C77146"/>
    <w:rsid w:val="00C820CE"/>
    <w:rsid w:val="00CB0664"/>
    <w:rsid w:val="00CD1C2D"/>
    <w:rsid w:val="00D036DD"/>
    <w:rsid w:val="00DA685E"/>
    <w:rsid w:val="00DC3A1F"/>
    <w:rsid w:val="00E37003"/>
    <w:rsid w:val="00E4579B"/>
    <w:rsid w:val="00EA1300"/>
    <w:rsid w:val="00EA3664"/>
    <w:rsid w:val="00EA74A0"/>
    <w:rsid w:val="00EC0F50"/>
    <w:rsid w:val="00EF3B56"/>
    <w:rsid w:val="00F15500"/>
    <w:rsid w:val="00F607F8"/>
    <w:rsid w:val="00F81768"/>
    <w:rsid w:val="00FB41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4F1173"/>
  <w14:defaultImageDpi w14:val="300"/>
  <w15:docId w15:val="{105ECCC6-8733-422F-AA09-B1342809B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44" w:line="245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/>
      <w:b/>
      <w:bCs/>
      <w:color w:val="193755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/>
      <w:b/>
      <w:bCs/>
      <w:color w:val="2D5B7D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9375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b/>
      <w:i/>
      <w:iCs/>
      <w:color w:val="2D5B7D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pPr>
      <w:spacing w:after="25" w:line="240" w:lineRule="auto"/>
      <w:ind w:left="230" w:hanging="158"/>
    </w:pPr>
    <w:rPr>
      <w:rFonts w:ascii="Aptos" w:hAnsi="Aptos"/>
      <w:sz w:val="18"/>
    </w:rPr>
  </w:style>
  <w:style w:type="character" w:styleId="Hyperlink">
    <w:name w:val="Hyperlink"/>
    <w:basedOn w:val="DefaultParagraphFont"/>
    <w:uiPriority w:val="99"/>
    <w:unhideWhenUsed/>
    <w:rsid w:val="00EA3664"/>
    <w:rPr>
      <w:color w:val="0000FF" w:themeColor="hyperlink"/>
      <w:u w:val="single"/>
    </w:rPr>
  </w:style>
  <w:style w:type="paragraph" w:customStyle="1" w:styleId="paragraph">
    <w:name w:val="paragraph"/>
    <w:basedOn w:val="Normal"/>
    <w:rsid w:val="00C73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C73011"/>
  </w:style>
  <w:style w:type="character" w:customStyle="1" w:styleId="eop">
    <w:name w:val="eop"/>
    <w:basedOn w:val="DefaultParagraphFont"/>
    <w:rsid w:val="00C73011"/>
  </w:style>
  <w:style w:type="paragraph" w:styleId="NormalWeb">
    <w:name w:val="Normal (Web)"/>
    <w:basedOn w:val="Normal"/>
    <w:uiPriority w:val="99"/>
    <w:semiHidden/>
    <w:unhideWhenUsed/>
    <w:rsid w:val="0055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64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3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43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1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7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1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0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06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3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4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9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3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5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7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0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7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2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5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4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2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1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5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6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7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3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9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4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8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66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14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31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4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10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30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3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13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60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9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4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2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76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7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1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5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8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0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7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3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3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0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5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1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8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1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3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6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4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0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1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57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3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0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0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1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ohammed-shareef-khan-52319711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1E5093-5684-44F9-BB7A-99547800C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2112</Words>
  <Characters>12042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MohammedShareef Khan</dc:creator>
  <cp:keywords/>
  <dc:description>generated by python-docx</dc:description>
  <cp:lastModifiedBy>MohammedShareef Khan</cp:lastModifiedBy>
  <cp:revision>75</cp:revision>
  <cp:lastPrinted>2026-08-05T09:41:00Z</cp:lastPrinted>
  <dcterms:created xsi:type="dcterms:W3CDTF">2026-07-24T07:25:00Z</dcterms:created>
  <dcterms:modified xsi:type="dcterms:W3CDTF">2026-09-23T11:11:00Z</dcterms:modified>
  <cp:category/>
</cp:coreProperties>
</file>