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56D" w:rsidRPr="00365BBF" w:rsidRDefault="00EE223A" w:rsidP="00365BBF">
      <w:pPr>
        <w:pStyle w:val="Title"/>
        <w:spacing w:after="0" w:line="276" w:lineRule="auto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365BBF">
        <w:rPr>
          <w:rFonts w:ascii="Times New Roman" w:hAnsi="Times New Roman" w:cs="Times New Roman"/>
          <w:color w:val="auto"/>
          <w:sz w:val="20"/>
          <w:szCs w:val="20"/>
        </w:rPr>
        <w:t xml:space="preserve">MOHAMMED SHAREEF KHAN, </w:t>
      </w:r>
      <w:proofErr w:type="spellStart"/>
      <w:r w:rsidRPr="00365BBF">
        <w:rPr>
          <w:rFonts w:ascii="Times New Roman" w:hAnsi="Times New Roman" w:cs="Times New Roman"/>
          <w:color w:val="auto"/>
          <w:sz w:val="20"/>
          <w:szCs w:val="20"/>
        </w:rPr>
        <w:t>M.Pharm</w:t>
      </w:r>
      <w:proofErr w:type="spellEnd"/>
      <w:r w:rsidRPr="00365BBF">
        <w:rPr>
          <w:rFonts w:ascii="Times New Roman" w:hAnsi="Times New Roman" w:cs="Times New Roman"/>
          <w:color w:val="auto"/>
          <w:sz w:val="20"/>
          <w:szCs w:val="20"/>
        </w:rPr>
        <w:t>., Ph.D.</w:t>
      </w:r>
    </w:p>
    <w:p w:rsidR="0052156D" w:rsidRPr="00365BBF" w:rsidRDefault="00EE223A" w:rsidP="00365BBF">
      <w:pPr>
        <w:spacing w:after="4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Biopharmaceutics &amp;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Pharmacometrics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 Scientist | Population PK/PD | R Programming | Phoenix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WinNonlin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 | PBPK/PB</w:t>
      </w:r>
      <w:r w:rsidR="00365BBF">
        <w:rPr>
          <w:rFonts w:ascii="Times New Roman" w:hAnsi="Times New Roman" w:cs="Times New Roman"/>
          <w:sz w:val="20"/>
          <w:szCs w:val="20"/>
        </w:rPr>
        <w:t>BM |</w:t>
      </w:r>
    </w:p>
    <w:p w:rsidR="00A83E3B" w:rsidRPr="00365BBF" w:rsidRDefault="00EE223A" w:rsidP="00365BBF">
      <w:pPr>
        <w:spacing w:after="8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+91 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8639648008  |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 xml:space="preserve">  mdkhanshareef@gmail.com  |  </w:t>
      </w:r>
      <w:hyperlink r:id="rId8" w:history="1">
        <w:r w:rsidR="003E3132" w:rsidRPr="00365BBF">
          <w:rPr>
            <w:rStyle w:val="Hyperlink"/>
            <w:rFonts w:ascii="Times New Roman" w:hAnsi="Times New Roman" w:cs="Times New Roman"/>
            <w:sz w:val="20"/>
            <w:szCs w:val="20"/>
          </w:rPr>
          <w:t>https://www.linkedin.com/in/mohammed-shareef-khan-52319711a</w:t>
        </w:r>
      </w:hyperlink>
    </w:p>
    <w:p w:rsidR="0052156D" w:rsidRPr="00365BBF" w:rsidRDefault="00EE223A" w:rsidP="00365BBF">
      <w:pPr>
        <w:pStyle w:val="Heading1"/>
        <w:pBdr>
          <w:bottom w:val="single" w:sz="8" w:space="2" w:color="5B9BD5"/>
        </w:pBdr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65BBF">
        <w:rPr>
          <w:rFonts w:ascii="Times New Roman" w:hAnsi="Times New Roman" w:cs="Times New Roman"/>
          <w:color w:val="auto"/>
          <w:sz w:val="20"/>
          <w:szCs w:val="20"/>
        </w:rPr>
        <w:t>PROFESSIONAL SUMMARY</w:t>
      </w:r>
    </w:p>
    <w:p w:rsidR="0052156D" w:rsidRPr="00365BBF" w:rsidRDefault="00EE223A" w:rsidP="00365BBF">
      <w:pPr>
        <w:spacing w:after="6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Biopharmaceutics and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Pharmacometrics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 Scientist with 5+ years of experience in PK/PD data analysis, model-informed drug development, PBPK/PBBM modeling, IVIVC/IVIVR,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noncompartmental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 analysis, and regulatory bioequivalence assessment. Experienced in R-based exploratory population PK/PD workflows and Phoenix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WinNonlin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 for PK and BE analysis, including data preparation, validation, visualization, exposure and variability assessment, and model-informed interpretation. Skilled in integrating clinical, bioanalytical, formulation, dissolution, and physicochemical evidence; identifying data gaps and inconsistencies; and translating quantitative findings into reproducible, traceable, and regulatory-relevant outputs. </w:t>
      </w:r>
    </w:p>
    <w:p w:rsidR="0052156D" w:rsidRPr="00365BBF" w:rsidRDefault="00EE223A" w:rsidP="00365BBF">
      <w:pPr>
        <w:pStyle w:val="Heading1"/>
        <w:pBdr>
          <w:bottom w:val="single" w:sz="8" w:space="2" w:color="5B9BD5"/>
        </w:pBdr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65BBF">
        <w:rPr>
          <w:rFonts w:ascii="Times New Roman" w:hAnsi="Times New Roman" w:cs="Times New Roman"/>
          <w:color w:val="auto"/>
          <w:sz w:val="20"/>
          <w:szCs w:val="20"/>
        </w:rPr>
        <w:t>CORE COMPETENCIES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8363"/>
      </w:tblGrid>
      <w:tr w:rsidR="00365BBF" w:rsidRPr="00365BBF" w:rsidTr="00365BBF">
        <w:tc>
          <w:tcPr>
            <w:tcW w:w="2127" w:type="dxa"/>
          </w:tcPr>
          <w:p w:rsidR="00CB6D42" w:rsidRPr="00365BBF" w:rsidRDefault="004B276D" w:rsidP="00365BB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5BB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Population PK/PD &amp; </w:t>
            </w:r>
            <w:proofErr w:type="spellStart"/>
            <w:r w:rsidRPr="00365BBF">
              <w:rPr>
                <w:rFonts w:ascii="Times New Roman" w:hAnsi="Times New Roman" w:cs="Times New Roman"/>
                <w:b/>
                <w:sz w:val="20"/>
                <w:szCs w:val="20"/>
              </w:rPr>
              <w:t>Pharmacometrics</w:t>
            </w:r>
            <w:proofErr w:type="spellEnd"/>
          </w:p>
        </w:tc>
        <w:tc>
          <w:tcPr>
            <w:tcW w:w="8363" w:type="dxa"/>
          </w:tcPr>
          <w:p w:rsidR="00CB6D42" w:rsidRPr="00365BBF" w:rsidRDefault="004B276D" w:rsidP="00365BB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5BBF">
              <w:rPr>
                <w:rFonts w:ascii="Times New Roman" w:hAnsi="Times New Roman" w:cs="Times New Roman"/>
                <w:sz w:val="20"/>
                <w:szCs w:val="20"/>
              </w:rPr>
              <w:t xml:space="preserve">R-based exploratory population PK/PD workflows; dataset preparation; structural and covariate assessment; </w:t>
            </w:r>
            <w:proofErr w:type="spellStart"/>
            <w:r w:rsidRPr="00365BBF">
              <w:rPr>
                <w:rFonts w:ascii="Times New Roman" w:hAnsi="Times New Roman" w:cs="Times New Roman"/>
                <w:sz w:val="20"/>
                <w:szCs w:val="20"/>
              </w:rPr>
              <w:t>interindividual</w:t>
            </w:r>
            <w:proofErr w:type="spellEnd"/>
            <w:r w:rsidRPr="00365BBF">
              <w:rPr>
                <w:rFonts w:ascii="Times New Roman" w:hAnsi="Times New Roman" w:cs="Times New Roman"/>
                <w:sz w:val="20"/>
                <w:szCs w:val="20"/>
              </w:rPr>
              <w:t xml:space="preserve"> variability; model diagnostics; simulation; model-informed interpretation</w:t>
            </w:r>
          </w:p>
        </w:tc>
      </w:tr>
      <w:tr w:rsidR="00365BBF" w:rsidRPr="00365BBF" w:rsidTr="00365BBF">
        <w:tc>
          <w:tcPr>
            <w:tcW w:w="2127" w:type="dxa"/>
          </w:tcPr>
          <w:p w:rsidR="00CB6D42" w:rsidRPr="00365BBF" w:rsidRDefault="004B276D" w:rsidP="00365BB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5BBF">
              <w:rPr>
                <w:rFonts w:ascii="Times New Roman" w:hAnsi="Times New Roman" w:cs="Times New Roman"/>
                <w:b/>
                <w:sz w:val="20"/>
                <w:szCs w:val="20"/>
              </w:rPr>
              <w:t>PK, BE Analysis &amp; Study Design</w:t>
            </w:r>
          </w:p>
        </w:tc>
        <w:tc>
          <w:tcPr>
            <w:tcW w:w="8363" w:type="dxa"/>
          </w:tcPr>
          <w:p w:rsidR="00CB6D42" w:rsidRPr="00365BBF" w:rsidRDefault="004B276D" w:rsidP="00365BB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5BBF">
              <w:rPr>
                <w:rFonts w:ascii="Times New Roman" w:hAnsi="Times New Roman" w:cs="Times New Roman"/>
                <w:sz w:val="20"/>
                <w:szCs w:val="20"/>
              </w:rPr>
              <w:t xml:space="preserve">Phoenix </w:t>
            </w:r>
            <w:proofErr w:type="spellStart"/>
            <w:r w:rsidRPr="00365BBF">
              <w:rPr>
                <w:rFonts w:ascii="Times New Roman" w:hAnsi="Times New Roman" w:cs="Times New Roman"/>
                <w:sz w:val="20"/>
                <w:szCs w:val="20"/>
              </w:rPr>
              <w:t>WinNonlin</w:t>
            </w:r>
            <w:proofErr w:type="spellEnd"/>
            <w:r w:rsidRPr="00365BBF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365BBF">
              <w:rPr>
                <w:rFonts w:ascii="Times New Roman" w:hAnsi="Times New Roman" w:cs="Times New Roman"/>
                <w:sz w:val="20"/>
                <w:szCs w:val="20"/>
              </w:rPr>
              <w:t>noncompartmental</w:t>
            </w:r>
            <w:proofErr w:type="spellEnd"/>
            <w:r w:rsidRPr="00365BBF">
              <w:rPr>
                <w:rFonts w:ascii="Times New Roman" w:hAnsi="Times New Roman" w:cs="Times New Roman"/>
                <w:sz w:val="20"/>
                <w:szCs w:val="20"/>
              </w:rPr>
              <w:t xml:space="preserve"> analysis; exposure and variability interpretation; steady-state assessment; BE analysis and study design; sample-size estimation; model-informed sampling</w:t>
            </w:r>
          </w:p>
        </w:tc>
      </w:tr>
      <w:tr w:rsidR="00365BBF" w:rsidRPr="00365BBF" w:rsidTr="00365BBF">
        <w:tc>
          <w:tcPr>
            <w:tcW w:w="2127" w:type="dxa"/>
          </w:tcPr>
          <w:p w:rsidR="00CB6D42" w:rsidRPr="00365BBF" w:rsidRDefault="004B276D" w:rsidP="00365BB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5BBF">
              <w:rPr>
                <w:rFonts w:ascii="Times New Roman" w:hAnsi="Times New Roman" w:cs="Times New Roman"/>
                <w:b/>
                <w:sz w:val="20"/>
                <w:szCs w:val="20"/>
              </w:rPr>
              <w:t>R Programming &amp; Data Quality</w:t>
            </w:r>
          </w:p>
        </w:tc>
        <w:tc>
          <w:tcPr>
            <w:tcW w:w="8363" w:type="dxa"/>
          </w:tcPr>
          <w:p w:rsidR="00CB6D42" w:rsidRPr="00365BBF" w:rsidRDefault="004B276D" w:rsidP="00365BB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5BBF">
              <w:rPr>
                <w:rFonts w:ascii="Times New Roman" w:hAnsi="Times New Roman" w:cs="Times New Roman"/>
                <w:sz w:val="20"/>
                <w:szCs w:val="20"/>
              </w:rPr>
              <w:t>Data import, cleaning, transformation, validation, exploratory analysis, PK/PD visualization, reproducible reporting, source-to-output traceability, and programmed-output review</w:t>
            </w:r>
          </w:p>
        </w:tc>
      </w:tr>
      <w:tr w:rsidR="00365BBF" w:rsidRPr="00365BBF" w:rsidTr="00365BBF">
        <w:tc>
          <w:tcPr>
            <w:tcW w:w="2127" w:type="dxa"/>
          </w:tcPr>
          <w:p w:rsidR="00CB6D42" w:rsidRPr="00365BBF" w:rsidRDefault="004B276D" w:rsidP="00365BB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5BBF">
              <w:rPr>
                <w:rFonts w:ascii="Times New Roman" w:hAnsi="Times New Roman" w:cs="Times New Roman"/>
                <w:b/>
                <w:sz w:val="20"/>
                <w:szCs w:val="20"/>
              </w:rPr>
              <w:t>PBPK/PBBM, IVIVC &amp; Simulation</w:t>
            </w:r>
          </w:p>
        </w:tc>
        <w:tc>
          <w:tcPr>
            <w:tcW w:w="8363" w:type="dxa"/>
          </w:tcPr>
          <w:p w:rsidR="00CB6D42" w:rsidRPr="00365BBF" w:rsidRDefault="004B276D" w:rsidP="00365BB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5BBF">
              <w:rPr>
                <w:rFonts w:ascii="Times New Roman" w:hAnsi="Times New Roman" w:cs="Times New Roman"/>
                <w:sz w:val="20"/>
                <w:szCs w:val="20"/>
              </w:rPr>
              <w:t>Mechanistic absorption modeling; parameterization; sensitivity and uncertainty analysis; fed/fasted and special-population scenarios; virtual BE; Level A IVIVC/IVIVR; dissolution safe spaces</w:t>
            </w:r>
          </w:p>
        </w:tc>
      </w:tr>
      <w:tr w:rsidR="00365BBF" w:rsidRPr="00365BBF" w:rsidTr="00365BBF">
        <w:tc>
          <w:tcPr>
            <w:tcW w:w="2127" w:type="dxa"/>
          </w:tcPr>
          <w:p w:rsidR="00CB6D42" w:rsidRPr="00365BBF" w:rsidRDefault="004B276D" w:rsidP="00365BB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5BBF">
              <w:rPr>
                <w:rFonts w:ascii="Times New Roman" w:hAnsi="Times New Roman" w:cs="Times New Roman"/>
                <w:b/>
                <w:sz w:val="20"/>
                <w:szCs w:val="20"/>
              </w:rPr>
              <w:t>Regulatory Biopharmaceutics</w:t>
            </w:r>
          </w:p>
        </w:tc>
        <w:tc>
          <w:tcPr>
            <w:tcW w:w="8363" w:type="dxa"/>
          </w:tcPr>
          <w:p w:rsidR="00CB6D42" w:rsidRPr="00365BBF" w:rsidRDefault="004B276D" w:rsidP="00365BB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5BBF">
              <w:rPr>
                <w:rFonts w:ascii="Times New Roman" w:hAnsi="Times New Roman" w:cs="Times New Roman"/>
                <w:sz w:val="20"/>
                <w:szCs w:val="20"/>
              </w:rPr>
              <w:t xml:space="preserve">BCS and lower-strength </w:t>
            </w:r>
            <w:proofErr w:type="spellStart"/>
            <w:r w:rsidRPr="00365BBF">
              <w:rPr>
                <w:rFonts w:ascii="Times New Roman" w:hAnsi="Times New Roman" w:cs="Times New Roman"/>
                <w:sz w:val="20"/>
                <w:szCs w:val="20"/>
              </w:rPr>
              <w:t>biowaivers</w:t>
            </w:r>
            <w:proofErr w:type="spellEnd"/>
            <w:r w:rsidRPr="00365BBF">
              <w:rPr>
                <w:rFonts w:ascii="Times New Roman" w:hAnsi="Times New Roman" w:cs="Times New Roman"/>
                <w:sz w:val="20"/>
                <w:szCs w:val="20"/>
              </w:rPr>
              <w:t>; dissolution mismatch and safe-space assessments; SUPAC change-impact evaluation; BE-risk reports; ANDA and global regulatory support</w:t>
            </w:r>
          </w:p>
        </w:tc>
      </w:tr>
    </w:tbl>
    <w:p w:rsidR="0052156D" w:rsidRPr="00365BBF" w:rsidRDefault="00EE223A" w:rsidP="00365BBF">
      <w:pPr>
        <w:pStyle w:val="Heading1"/>
        <w:pBdr>
          <w:bottom w:val="single" w:sz="8" w:space="2" w:color="5B9BD5"/>
        </w:pBdr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65BBF">
        <w:rPr>
          <w:rFonts w:ascii="Times New Roman" w:hAnsi="Times New Roman" w:cs="Times New Roman"/>
          <w:color w:val="auto"/>
          <w:sz w:val="20"/>
          <w:szCs w:val="20"/>
        </w:rPr>
        <w:t>PROFESSIONAL EXPERIENCE</w:t>
      </w:r>
    </w:p>
    <w:p w:rsidR="001A0B30" w:rsidRPr="00365BBF" w:rsidRDefault="001A0B30" w:rsidP="00365BBF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Cs w:val="20"/>
          <w:u w:val="single"/>
        </w:rPr>
      </w:pPr>
      <w:r w:rsidRPr="00365BBF">
        <w:rPr>
          <w:rFonts w:ascii="Times New Roman" w:hAnsi="Times New Roman" w:cs="Times New Roman"/>
          <w:color w:val="auto"/>
          <w:szCs w:val="20"/>
        </w:rPr>
        <w:t>Biopharmaceutics Scientist (</w:t>
      </w:r>
      <w:proofErr w:type="spellStart"/>
      <w:r w:rsidRPr="00365BBF">
        <w:rPr>
          <w:rFonts w:ascii="Times New Roman" w:hAnsi="Times New Roman" w:cs="Times New Roman"/>
          <w:color w:val="auto"/>
          <w:szCs w:val="20"/>
        </w:rPr>
        <w:t>Pharmacometrics</w:t>
      </w:r>
      <w:proofErr w:type="spellEnd"/>
      <w:r w:rsidRPr="00365BBF">
        <w:rPr>
          <w:rFonts w:ascii="Times New Roman" w:hAnsi="Times New Roman" w:cs="Times New Roman"/>
          <w:color w:val="auto"/>
          <w:szCs w:val="20"/>
        </w:rPr>
        <w:t xml:space="preserve"> &amp; PBPK/PBBM Modeling) | Dr. Reddy's Laboratories | Aug 2023 - Present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Integrate literature-derived and in-house physicochemical, dissolution, stability, permeability, formulation, bioanalytical, and PK data to characterize product behavior and guide formulation-development and biopharmaceutics-risk decisions.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Prepare, structure, validate, and analyze concentration-time, dosing, sampling, treatment, covariate, and BE datasets using R and Phoenix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WinNonlin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>, ensuring accuracy, completeness, unit and time alignment, internal consistency, and suitability for PK/PD analysis and modeling.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Perform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noncompartmental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 PK, integrated PK/PD, and BE analyses in Phoenix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WinNonlin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>, including exposure, absorption, variability, and steady-state assessments to support model development, study interpretation, and scientific decisions.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Apply R-based exploratory population PK/PD workflows encompassing data preparation, graphical exploration, 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evaluation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interindividual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 variability, diagnostic visualization, simulation, and model-informed interpretation, while advancing methodological expertise through scientific publication activities.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Develop reusable R scripts for data cleaning, transformation, validation, exploratory analysis, PK/PD visualization, summary generation, standardized reporting, quality control, and reproducible source-to-output traceability.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Develop mechanistic absorption and PBPK/PBBM models, sensitivity analyses, and prospective simulations across formulation, fed/fasted, and special-population scenarios to support formulation optimization,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biowaivers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dissolution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 xml:space="preserve"> safe spaces, virtual BE, uncertainty assessment, sampling strategy, and prospective BE-risk evaluation.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Develop IVIVC/IVIVR models linking dissolution with pilot and pivotal BE data, and collaborate with formulation and analytical teams on discriminatory and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biorelevant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 dissolution methods using USP Apparatus I, II, and IV,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DissoFlux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>, and Pion platforms.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Support peptide formulation programs by evaluating enzymatic instability, low permeability, and excipient compatibility, and prepare BCS-based and lower-strength biowaiver justifications, dissolution assessments, BE-risk reports, study-planning inputs, and model-informed scientific content aligned with global guidance.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Critically review data requirements, analysis inputs, quantitative outputs, and documentation; resolve gaps and inconsistencies; document assumptions and quality checks; and collaborate across modeling, clinical pharmacology, bioanalytical, formulation, analytical, regulatory, and project teams to deliver reproducible, traceable, submission-ready outputs.</w:t>
      </w:r>
    </w:p>
    <w:p w:rsidR="001A0B30" w:rsidRPr="00365BBF" w:rsidRDefault="001A0B30" w:rsidP="00365BBF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65BBF">
        <w:rPr>
          <w:rFonts w:ascii="Times New Roman" w:hAnsi="Times New Roman" w:cs="Times New Roman"/>
          <w:b/>
          <w:sz w:val="20"/>
          <w:szCs w:val="20"/>
          <w:u w:val="single"/>
        </w:rPr>
        <w:lastRenderedPageBreak/>
        <w:t xml:space="preserve">Senior Research Associate | </w:t>
      </w:r>
      <w:proofErr w:type="spellStart"/>
      <w:r w:rsidRPr="00365BBF">
        <w:rPr>
          <w:rFonts w:ascii="Times New Roman" w:hAnsi="Times New Roman" w:cs="Times New Roman"/>
          <w:b/>
          <w:sz w:val="20"/>
          <w:szCs w:val="20"/>
          <w:u w:val="single"/>
        </w:rPr>
        <w:t>Biocon</w:t>
      </w:r>
      <w:proofErr w:type="spellEnd"/>
      <w:r w:rsidRPr="00365BBF">
        <w:rPr>
          <w:rFonts w:ascii="Times New Roman" w:hAnsi="Times New Roman" w:cs="Times New Roman"/>
          <w:b/>
          <w:sz w:val="20"/>
          <w:szCs w:val="20"/>
          <w:u w:val="single"/>
        </w:rPr>
        <w:t xml:space="preserve"> Bristol-Myers Squibb R&amp;D Center (BBRC) | Apr 2018 - Nov 2019</w:t>
      </w:r>
    </w:p>
    <w:p w:rsidR="0052156D" w:rsidRPr="00365BBF" w:rsidRDefault="00EE223A" w:rsidP="00365BBF">
      <w:pPr>
        <w:pStyle w:val="CVBulle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Supported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preformulation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 and early formulation-development activities through solubility, solid-state, physicochemical, and stability assessments of lead compounds.</w:t>
      </w:r>
    </w:p>
    <w:p w:rsidR="0052156D" w:rsidRPr="00365BBF" w:rsidRDefault="00EE223A" w:rsidP="00365BBF">
      <w:pPr>
        <w:pStyle w:val="CVBulle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Developed oral and intravenous formulations supporting IND-enabling toxicology studies, emphasizing target systemic exposure, dose feasibility, 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stability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, tolerability, and formulation suitability.</w:t>
      </w:r>
    </w:p>
    <w:p w:rsidR="0052156D" w:rsidRPr="00365BBF" w:rsidRDefault="00EE223A" w:rsidP="00365BBF">
      <w:pPr>
        <w:pStyle w:val="CVBulle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Evaluated modified-release and particulate drug-delivery systems using micro-dissolution and particle-characterization tools and interpreted in vitro release in relation to anticipated in vivo absorption.</w:t>
      </w:r>
    </w:p>
    <w:p w:rsidR="0052156D" w:rsidRPr="00365BBF" w:rsidRDefault="00EE223A" w:rsidP="00365BBF">
      <w:pPr>
        <w:pStyle w:val="CVBulle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Generated scientific data packages and formulation-development recommendations supporting candidate selection and progression from preclinical screening to clinical and regulatory development.</w:t>
      </w:r>
    </w:p>
    <w:p w:rsidR="0052156D" w:rsidRPr="00365BBF" w:rsidRDefault="00EE223A" w:rsidP="00365BBF">
      <w:pPr>
        <w:pStyle w:val="CVBulle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Collaborated across discovery, toxicology, pharmacokinetics, analytical development, and formulation sciences to support program objectives and development decisions.</w:t>
      </w:r>
    </w:p>
    <w:p w:rsidR="001A0B30" w:rsidRPr="00365BBF" w:rsidRDefault="001A0B30" w:rsidP="00365BBF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Cs w:val="20"/>
          <w:u w:val="single"/>
        </w:rPr>
      </w:pPr>
      <w:r w:rsidRPr="00365BBF">
        <w:rPr>
          <w:rFonts w:ascii="Times New Roman" w:hAnsi="Times New Roman" w:cs="Times New Roman"/>
          <w:color w:val="auto"/>
          <w:szCs w:val="20"/>
          <w:u w:val="single"/>
        </w:rPr>
        <w:t xml:space="preserve">Doctoral Research Experience, Translational Formulation &amp; Pharmacokinetics | BITS </w:t>
      </w:r>
      <w:proofErr w:type="spellStart"/>
      <w:r w:rsidRPr="00365BBF">
        <w:rPr>
          <w:rFonts w:ascii="Times New Roman" w:hAnsi="Times New Roman" w:cs="Times New Roman"/>
          <w:color w:val="auto"/>
          <w:szCs w:val="20"/>
          <w:u w:val="single"/>
        </w:rPr>
        <w:t>Pilani</w:t>
      </w:r>
      <w:proofErr w:type="spellEnd"/>
      <w:r w:rsidRPr="00365BBF">
        <w:rPr>
          <w:rFonts w:ascii="Times New Roman" w:hAnsi="Times New Roman" w:cs="Times New Roman"/>
          <w:color w:val="auto"/>
          <w:szCs w:val="20"/>
          <w:u w:val="single"/>
        </w:rPr>
        <w:t>, Hyderabad Campus</w:t>
      </w:r>
      <w:r w:rsidRPr="00365BBF">
        <w:rPr>
          <w:rFonts w:ascii="Times New Roman" w:hAnsi="Times New Roman" w:cs="Times New Roman"/>
          <w:i/>
          <w:color w:val="auto"/>
          <w:szCs w:val="20"/>
          <w:u w:val="single"/>
        </w:rPr>
        <w:t xml:space="preserve"> | 2020 - 2023</w:t>
      </w:r>
    </w:p>
    <w:p w:rsidR="0052156D" w:rsidRPr="00365BBF" w:rsidRDefault="00EE223A" w:rsidP="00365BBF">
      <w:pPr>
        <w:pStyle w:val="CVBullet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Designed and executed formulation-development and optimization studies integrating DoE, physicochemical characterization, in vitro release, ex vivo permeation, and in vivo pharmacokinetic evaluation of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nanoparticulate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 and in situ gel-based ocular delivery systems.</w:t>
      </w:r>
    </w:p>
    <w:p w:rsidR="0052156D" w:rsidRPr="00365BBF" w:rsidRDefault="00EE223A" w:rsidP="00365BBF">
      <w:pPr>
        <w:pStyle w:val="CVBullet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Developed and optimized drug nanocrystals, polymeric nanoparticles, lipid-based nanoparticles, and polymer-lipid hybrid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nanoformulations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>, including incorporation into ocular in situ gel systems.</w:t>
      </w:r>
    </w:p>
    <w:p w:rsidR="0052156D" w:rsidRPr="00365BBF" w:rsidRDefault="00EE223A" w:rsidP="00365BBF">
      <w:pPr>
        <w:pStyle w:val="CVBullet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Conducted comprehensive physicochemical and biopharmaceutical characterization, including particle characteristics, drug loading, release, permeability, stability, and in vivo performance.</w:t>
      </w:r>
    </w:p>
    <w:p w:rsidR="0052156D" w:rsidRPr="00365BBF" w:rsidRDefault="00EE223A" w:rsidP="00365BBF">
      <w:pPr>
        <w:pStyle w:val="CVBullet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Conducted ocular pharmacokinetic studies in rabbits, including animal handling, dosing, biological sample collection, and evaluation of ocular and systemic exposure.</w:t>
      </w:r>
    </w:p>
    <w:p w:rsidR="0052156D" w:rsidRPr="00365BBF" w:rsidRDefault="00EE223A" w:rsidP="00365BBF">
      <w:pPr>
        <w:pStyle w:val="CVBullet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Performed biological sample processing, drug extraction, UPLC/HPLC quantitative bioanalysis, and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noncompartmental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 analysis of ocular pharmacokinetic data.</w:t>
      </w:r>
    </w:p>
    <w:p w:rsidR="0052156D" w:rsidRPr="00365BBF" w:rsidRDefault="00EE223A" w:rsidP="00365BBF">
      <w:pPr>
        <w:pStyle w:val="CVBullet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Established formulation-exposure relationships by integrating solubility, particle-engineering attributes, physicochemical characteristics, release kinetics, ex vivo permeability, and in vivo PK findings.</w:t>
      </w:r>
    </w:p>
    <w:p w:rsidR="0052156D" w:rsidRPr="00365BBF" w:rsidRDefault="00EE223A" w:rsidP="00365BBF">
      <w:pPr>
        <w:pStyle w:val="CVBullet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Translated experimental and pharmacokinetic findings into scientifically supported formulation-selection and optimization recommendations.</w:t>
      </w:r>
    </w:p>
    <w:p w:rsidR="0052156D" w:rsidRPr="00365BBF" w:rsidRDefault="00EE223A" w:rsidP="00365BBF">
      <w:pPr>
        <w:pStyle w:val="CVBullet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Served as Teaching Assistant for Instrumental Methods of Analysis, Dosage Form Design, Pharmacokinetics, and Biostatistics for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B.Pharm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. 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and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M.Pharm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. 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programs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.</w:t>
      </w:r>
    </w:p>
    <w:p w:rsidR="001A0B30" w:rsidRPr="00365BBF" w:rsidRDefault="001A0B30" w:rsidP="00365BBF">
      <w:pPr>
        <w:pStyle w:val="CVBullet"/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proofErr w:type="spellStart"/>
      <w:r w:rsidRPr="00365BBF">
        <w:rPr>
          <w:rFonts w:ascii="Times New Roman" w:hAnsi="Times New Roman" w:cs="Times New Roman"/>
          <w:b/>
          <w:sz w:val="20"/>
          <w:szCs w:val="20"/>
          <w:u w:val="single"/>
        </w:rPr>
        <w:t>M.Pharm</w:t>
      </w:r>
      <w:proofErr w:type="spellEnd"/>
      <w:r w:rsidRPr="00365BBF">
        <w:rPr>
          <w:rFonts w:ascii="Times New Roman" w:hAnsi="Times New Roman" w:cs="Times New Roman"/>
          <w:b/>
          <w:sz w:val="20"/>
          <w:szCs w:val="20"/>
          <w:u w:val="single"/>
        </w:rPr>
        <w:t xml:space="preserve"> Research Experience | BITS </w:t>
      </w:r>
      <w:proofErr w:type="spellStart"/>
      <w:r w:rsidRPr="00365BBF">
        <w:rPr>
          <w:rFonts w:ascii="Times New Roman" w:hAnsi="Times New Roman" w:cs="Times New Roman"/>
          <w:b/>
          <w:sz w:val="20"/>
          <w:szCs w:val="20"/>
          <w:u w:val="single"/>
        </w:rPr>
        <w:t>Pilani</w:t>
      </w:r>
      <w:proofErr w:type="spellEnd"/>
      <w:r w:rsidRPr="00365BBF">
        <w:rPr>
          <w:rFonts w:ascii="Times New Roman" w:hAnsi="Times New Roman" w:cs="Times New Roman"/>
          <w:b/>
          <w:sz w:val="20"/>
          <w:szCs w:val="20"/>
          <w:u w:val="single"/>
        </w:rPr>
        <w:t>, Hyderabad Campus | 2015-2017</w:t>
      </w:r>
    </w:p>
    <w:p w:rsidR="0052156D" w:rsidRPr="00365BBF" w:rsidRDefault="00EE223A" w:rsidP="00365BBF">
      <w:pPr>
        <w:pStyle w:val="CVBullet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Conducted in vivo studies in mice and rats, including animal handling, dosing, blood sampling, tissue collection, and pharmacokinetic evaluation.</w:t>
      </w:r>
    </w:p>
    <w:p w:rsidR="0052156D" w:rsidRPr="00365BBF" w:rsidRDefault="00EE223A" w:rsidP="00365BBF">
      <w:pPr>
        <w:pStyle w:val="CVBullet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Conducted studies using murine melanoma and rat hypertension models to evaluate nanoparticle-based drug-delivery systems.</w:t>
      </w:r>
    </w:p>
    <w:p w:rsidR="0052156D" w:rsidRPr="00365BBF" w:rsidRDefault="00EE223A" w:rsidP="00365BBF">
      <w:pPr>
        <w:pStyle w:val="CVBullet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Performed biological sample processing, drug extraction, and UPLC/HPLC quantitative bioanalysis supporting pharmacokinetic and tissue-distribution studies.</w:t>
      </w:r>
    </w:p>
    <w:p w:rsidR="0052156D" w:rsidRPr="00365BBF" w:rsidRDefault="00EE223A" w:rsidP="00365BBF">
      <w:pPr>
        <w:pStyle w:val="CVBullet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Conducted tissue-distribution studies in mice to characterize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biodistribution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 and target-site exposure.</w:t>
      </w:r>
    </w:p>
    <w:p w:rsidR="0052156D" w:rsidRPr="00365BBF" w:rsidRDefault="00EE223A" w:rsidP="00365BBF">
      <w:pPr>
        <w:pStyle w:val="CVBullet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Contributed to development, characterization, and in vivo evaluation of advanced nanoparticle-based delivery systems for oncology and cardiovascular applications.</w:t>
      </w:r>
    </w:p>
    <w:p w:rsidR="0052156D" w:rsidRPr="00365BBF" w:rsidRDefault="00EE223A" w:rsidP="00365BBF">
      <w:pPr>
        <w:pStyle w:val="Heading1"/>
        <w:pBdr>
          <w:bottom w:val="single" w:sz="8" w:space="2" w:color="5B9BD5"/>
        </w:pBdr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65BBF">
        <w:rPr>
          <w:rFonts w:ascii="Times New Roman" w:hAnsi="Times New Roman" w:cs="Times New Roman"/>
          <w:color w:val="auto"/>
          <w:sz w:val="20"/>
          <w:szCs w:val="20"/>
        </w:rPr>
        <w:t>EDUCATION</w:t>
      </w:r>
    </w:p>
    <w:p w:rsidR="0052156D" w:rsidRPr="00365BBF" w:rsidRDefault="00EE223A" w:rsidP="00365BBF">
      <w:pPr>
        <w:pStyle w:val="CVBullet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 xml:space="preserve">Ph.D., Pharmaceutical Sciences | BITS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Pilani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>, Hyderabad Campus | 2020–2023</w:t>
      </w:r>
    </w:p>
    <w:p w:rsidR="0052156D" w:rsidRPr="00365BBF" w:rsidRDefault="00EE223A" w:rsidP="00365BBF">
      <w:pPr>
        <w:pStyle w:val="CVBullet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65BBF">
        <w:rPr>
          <w:rFonts w:ascii="Times New Roman" w:hAnsi="Times New Roman" w:cs="Times New Roman"/>
          <w:sz w:val="20"/>
          <w:szCs w:val="20"/>
        </w:rPr>
        <w:t>M.Pharm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 xml:space="preserve">., Pharmaceutics | BITS </w:t>
      </w:r>
      <w:proofErr w:type="spellStart"/>
      <w:r w:rsidRPr="00365BBF">
        <w:rPr>
          <w:rFonts w:ascii="Times New Roman" w:hAnsi="Times New Roman" w:cs="Times New Roman"/>
          <w:sz w:val="20"/>
          <w:szCs w:val="20"/>
        </w:rPr>
        <w:t>Pilani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>, Hyderabad Campus | 2015–2017</w:t>
      </w:r>
    </w:p>
    <w:p w:rsidR="0052156D" w:rsidRPr="00365BBF" w:rsidRDefault="00EE223A" w:rsidP="00365BBF">
      <w:pPr>
        <w:pStyle w:val="CVBullet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65BBF">
        <w:rPr>
          <w:rFonts w:ascii="Times New Roman" w:hAnsi="Times New Roman" w:cs="Times New Roman"/>
          <w:sz w:val="20"/>
          <w:szCs w:val="20"/>
        </w:rPr>
        <w:t>B.Pharm</w:t>
      </w:r>
      <w:proofErr w:type="spellEnd"/>
      <w:r w:rsidRPr="00365BBF">
        <w:rPr>
          <w:rFonts w:ascii="Times New Roman" w:hAnsi="Times New Roman" w:cs="Times New Roman"/>
          <w:sz w:val="20"/>
          <w:szCs w:val="20"/>
        </w:rPr>
        <w:t>. | Global College of Pharmacy, JNTU Hyderabad | 2010–2014</w:t>
      </w:r>
    </w:p>
    <w:p w:rsidR="0052156D" w:rsidRPr="00365BBF" w:rsidRDefault="00EE223A" w:rsidP="00365BBF">
      <w:pPr>
        <w:pStyle w:val="Heading1"/>
        <w:pBdr>
          <w:bottom w:val="single" w:sz="8" w:space="2" w:color="5B9BD5"/>
        </w:pBdr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65BBF">
        <w:rPr>
          <w:rFonts w:ascii="Times New Roman" w:hAnsi="Times New Roman" w:cs="Times New Roman"/>
          <w:color w:val="auto"/>
          <w:sz w:val="20"/>
          <w:szCs w:val="20"/>
        </w:rPr>
        <w:t>TECHNICAL TOOLS AND SCIENTIFIC PLATFORMS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Pharmacometrics and PK analysis: R/RStudio, Phoenix WinNonlin, and working knowledge of Phoenix NLME workflows for data preparation, NCA, exploratory population PK/PD analysis, simulation, diagnostics, and reporting.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PBPK/PBBM and biopharmaceutics: GastroPlus and PK-Sim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 xml:space="preserve"> mechanistic absorption modeling, IVIVC/IVIVR, sensitivity analysis, virtual BE, and dissolution safe-space assessment.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lastRenderedPageBreak/>
        <w:t>Statistics and data workflows: DoE, biostatistics, sample-size estimation, data visualization, validation, quality control, reproducible analysis, and source-to-output traceability.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Experimental and analytical platforms: USP Apparatus I/II/IV, DissoFlux, Pion micro-dissolution/real-time analysis, DSC, XRPD, HPLC/UV, and particle characterization.</w:t>
      </w:r>
    </w:p>
    <w:p w:rsidR="00CB6D42" w:rsidRPr="00365BBF" w:rsidRDefault="004B276D" w:rsidP="00365BBF">
      <w:pPr>
        <w:pStyle w:val="ListBullet"/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Documentation: Analysis plans, technical protocols, QC records, model-informed reports, BE-risk assessments, biowaiver justifications, formulation decision reports, and regulatory development summaries.</w:t>
      </w:r>
    </w:p>
    <w:p w:rsidR="0052156D" w:rsidRPr="00365BBF" w:rsidRDefault="00EE223A" w:rsidP="00601549">
      <w:pPr>
        <w:pStyle w:val="Heading1"/>
        <w:pBdr>
          <w:bottom w:val="single" w:sz="8" w:space="2" w:color="5B9BD5"/>
        </w:pBdr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65BBF">
        <w:rPr>
          <w:rFonts w:ascii="Times New Roman" w:hAnsi="Times New Roman" w:cs="Times New Roman"/>
          <w:color w:val="auto"/>
          <w:sz w:val="20"/>
          <w:szCs w:val="20"/>
        </w:rPr>
        <w:t>PEER-REVIEWED PUBLICATIONS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1. </w:t>
      </w:r>
      <w:r w:rsidRPr="00365BBF">
        <w:rPr>
          <w:rFonts w:ascii="Times New Roman" w:hAnsi="Times New Roman" w:cs="Times New Roman"/>
          <w:sz w:val="20"/>
          <w:szCs w:val="20"/>
        </w:rPr>
        <w:t>Khan MS, Bhutani U, Venugopal H, Saini AK, Naidu VR, Kollipara S. Emerging therapies in metabolic health: a comprehensive review of GLP-1, GIP, and glucagon agonists. Journal of Peptide Science. 2026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;32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(2):e70083. doi:10.1002/psc.70083.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2. </w:t>
      </w:r>
      <w:r w:rsidRPr="00365BBF">
        <w:rPr>
          <w:rFonts w:ascii="Times New Roman" w:hAnsi="Times New Roman" w:cs="Times New Roman"/>
          <w:sz w:val="20"/>
          <w:szCs w:val="20"/>
        </w:rPr>
        <w:t xml:space="preserve">Khan SM, Khan MS, Arumugam A, Biswas M, Saini AK, Kollipara S. Pharmacokinetic bioequivalence of semaglutide injection in healthy adults under fasting conditions: a randomized study. Journal of Clinical and Translational Research. Published online July 16, 2026. 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doi: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10.36922/JCTR026250056.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3. </w:t>
      </w:r>
      <w:r w:rsidRPr="00365BBF">
        <w:rPr>
          <w:rFonts w:ascii="Times New Roman" w:hAnsi="Times New Roman" w:cs="Times New Roman"/>
          <w:sz w:val="20"/>
          <w:szCs w:val="20"/>
        </w:rPr>
        <w:t>Khan MS, Khan SM, Saini AK, Kollipara S. Comparative overview of biosimilar regulatory frameworks and international harmonization trends. Expert Opinion on Biological Therapy. 2026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;26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(6):587-604. doi:10.1080/14712598.2026.2689744.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4. </w:t>
      </w:r>
      <w:r w:rsidRPr="00365BBF">
        <w:rPr>
          <w:rFonts w:ascii="Times New Roman" w:hAnsi="Times New Roman" w:cs="Times New Roman"/>
          <w:sz w:val="20"/>
          <w:szCs w:val="20"/>
        </w:rPr>
        <w:t>Khan MS, Khan SM, Martins FS, Boddu R, Saini AK, Kollipara S. New era in bioequivalence global harmonization through ICH M13 initiative: critical review on new concepts, alternative approaches for high-risk products. Xenobiotica. 2025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;55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(6):464-477. doi:10.1080/00498254.2025.2535415.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5. </w:t>
      </w:r>
      <w:r w:rsidRPr="00365BBF">
        <w:rPr>
          <w:rFonts w:ascii="Times New Roman" w:hAnsi="Times New Roman" w:cs="Times New Roman"/>
          <w:sz w:val="20"/>
          <w:szCs w:val="20"/>
        </w:rPr>
        <w:t xml:space="preserve">Boddu R, Rachapally A, Khan MS, Khan SM, Martins FS, Saini AK, Kollipara S. Exploring additional-strength biowaiver perspectives in the ICH M13B framework for immediate-release solid oral dosage forms: opportunities and challenges. Therapeutic Innovation &amp; Regulatory Science. Published online 2025. 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doi: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10.1007/s43441-025-00900-0.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6. </w:t>
      </w:r>
      <w:r w:rsidRPr="00365BBF">
        <w:rPr>
          <w:rFonts w:ascii="Times New Roman" w:hAnsi="Times New Roman" w:cs="Times New Roman"/>
          <w:sz w:val="20"/>
          <w:szCs w:val="20"/>
        </w:rPr>
        <w:t xml:space="preserve">Khan MS, Murthy A, Ahmed T. Advancements in ocular modelling and simulations: key considerations and case studies. AAPS PharmSciTech. Published online December 17, 2024. 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doi: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10.1208/s12249-024-03001-7.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7. </w:t>
      </w:r>
      <w:r w:rsidRPr="00365BBF">
        <w:rPr>
          <w:rFonts w:ascii="Times New Roman" w:hAnsi="Times New Roman" w:cs="Times New Roman"/>
          <w:sz w:val="20"/>
          <w:szCs w:val="20"/>
        </w:rPr>
        <w:t>Rawat PS, Ravi PR, Khan MS, Mahajan RR, Szeleszczuk L. Nebivolol polymeric nanoparticles-loaded in situ gel for effective treatment of glaucoma: optimization, physicochemical characterization, and pharmacokinetic and pharmacodynamic evaluation. Nanomaterials. 2024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;14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 xml:space="preserve">(16):1347. 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doi: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10.3390/nano14161347.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8. </w:t>
      </w:r>
      <w:r w:rsidRPr="00365BBF">
        <w:rPr>
          <w:rFonts w:ascii="Times New Roman" w:hAnsi="Times New Roman" w:cs="Times New Roman"/>
          <w:sz w:val="20"/>
          <w:szCs w:val="20"/>
        </w:rPr>
        <w:t>Rawat PS, Ravi PR, Mir SI, Khan MS, Kathuria H, Katnapally P, Bhatnagar U. Design, characterization and pharmacokinetic-pharmacodynamic evaluation of poloxamer and kappa-carrageenan-based dual-responsive in situ gel of nebivolol for treatment of open-angle glaucoma. Pharmaceutics. 2023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;15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 xml:space="preserve">(2):405. 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doi: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10.3390/pharmaceutics15020405.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9. </w:t>
      </w:r>
      <w:r w:rsidRPr="00365BBF">
        <w:rPr>
          <w:rFonts w:ascii="Times New Roman" w:hAnsi="Times New Roman" w:cs="Times New Roman"/>
          <w:sz w:val="20"/>
          <w:szCs w:val="20"/>
        </w:rPr>
        <w:t>Khan MS, Ravi PR, Mir SI, Rawat PS. Optimization and in vivo evaluation of triamcinolone acetonide-loaded in situ gel prepared using reacted tamarind seed xyloglucan and kappa-carrageenan for ocular delivery. International Journal of Biological Macromolecules. 2023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;233:123533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. doi:10.1016/j.ijbiomac.2023.123533.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10. </w:t>
      </w:r>
      <w:r w:rsidRPr="00365BBF">
        <w:rPr>
          <w:rFonts w:ascii="Times New Roman" w:hAnsi="Times New Roman" w:cs="Times New Roman"/>
          <w:sz w:val="20"/>
          <w:szCs w:val="20"/>
        </w:rPr>
        <w:t>Khan MS, Ravi PR, Dhavan DS. Design, optimization and pharmacokinetic evaluation of PLGA-phosphatidylcholine hybrid nanoparticles of triamcinolone acetonide loaded in situ gel for topical ocular delivery. International Journal of Pharmaceutics. 2023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;647:123530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. doi:10.1016/j.ijpharm.2023.123530.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11. </w:t>
      </w:r>
      <w:r w:rsidRPr="00365BBF">
        <w:rPr>
          <w:rFonts w:ascii="Times New Roman" w:hAnsi="Times New Roman" w:cs="Times New Roman"/>
          <w:sz w:val="20"/>
          <w:szCs w:val="20"/>
        </w:rPr>
        <w:t>Khan MS, Ravi PR, Dhavan DS. Design, optimization, in vitro and in vivo evaluation of triamcinolone acetonide nanocrystals loaded in situ gel for topical ocular delivery. Colloids and Surfaces B: Biointerfaces. 2023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;231:113539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. doi:10.1016/j.colsurfb.2023.113539.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12. </w:t>
      </w:r>
      <w:r w:rsidRPr="00365BBF">
        <w:rPr>
          <w:rFonts w:ascii="Times New Roman" w:hAnsi="Times New Roman" w:cs="Times New Roman"/>
          <w:sz w:val="20"/>
          <w:szCs w:val="20"/>
        </w:rPr>
        <w:t>Mahajan R, Ravi PR, Khan MS. Optimization of an HPLC-UV bioanalytical method using Box-Behnken design to determine the oral pharmacokinetics of neratinib maleate in Wistar rats. Biomedical Chromatography. 2023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;37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(11):e5731. doi:10.1002/bmc.5731.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13. </w:t>
      </w:r>
      <w:r w:rsidRPr="00365BBF">
        <w:rPr>
          <w:rFonts w:ascii="Times New Roman" w:hAnsi="Times New Roman" w:cs="Times New Roman"/>
          <w:sz w:val="20"/>
          <w:szCs w:val="20"/>
        </w:rPr>
        <w:t>Khan MS, Ravi PR, Mullapudi TVR. Dose identification of triamcinolone acetonide for noninvasive pre-corneal administration in the treatment of posterior uveitis using a rapid, sensitive HPLC method with photodiode-array detector. Biomedical Chromatography. 2022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;36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(2):e5264. doi:10.1002/bmc.5264.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14. </w:t>
      </w:r>
      <w:r w:rsidRPr="00365BBF">
        <w:rPr>
          <w:rFonts w:ascii="Times New Roman" w:hAnsi="Times New Roman" w:cs="Times New Roman"/>
          <w:sz w:val="20"/>
          <w:szCs w:val="20"/>
        </w:rPr>
        <w:t>Diwan R, Khan S, Ravi PR. Comparative study of cilnidipine-loaded PLGA nanoparticles: process optimization by DoE, physicochemical characterization, and in vivo evaluation. Drug Delivery and Translational Research. 2020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;10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 xml:space="preserve">(5):1442-1458. 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doi: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10.1007/s13346-020-00732-5.</w:t>
      </w:r>
    </w:p>
    <w:p w:rsidR="0052156D" w:rsidRPr="00365BBF" w:rsidRDefault="00EE223A" w:rsidP="00601549">
      <w:pPr>
        <w:pStyle w:val="CVBullet"/>
        <w:ind w:left="317" w:hanging="317"/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b/>
          <w:sz w:val="20"/>
          <w:szCs w:val="20"/>
        </w:rPr>
        <w:t xml:space="preserve">15. </w:t>
      </w:r>
      <w:r w:rsidRPr="00365BBF">
        <w:rPr>
          <w:rFonts w:ascii="Times New Roman" w:hAnsi="Times New Roman" w:cs="Times New Roman"/>
          <w:sz w:val="20"/>
          <w:szCs w:val="20"/>
        </w:rPr>
        <w:t>Labala S, Jose A, Chawla SR, Khan MS, Bhatnagar S, Kulkarni OP, Venuganti VVK. Effective melanoma cancer suppression by iontophoretic co-delivery of STAT3 siRNA and imatinib using gold nanoparticles. International Journal of Pharmaceutics. 2017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;525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>(2):407-417. doi:10.1016/j.ijpharm.2017.03.087.</w:t>
      </w:r>
    </w:p>
    <w:p w:rsidR="0052156D" w:rsidRPr="00365BBF" w:rsidRDefault="00EE223A" w:rsidP="00601549">
      <w:pPr>
        <w:pStyle w:val="Heading1"/>
        <w:pBdr>
          <w:bottom w:val="single" w:sz="8" w:space="2" w:color="5B9BD5"/>
        </w:pBdr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65BBF">
        <w:rPr>
          <w:rFonts w:ascii="Times New Roman" w:hAnsi="Times New Roman" w:cs="Times New Roman"/>
          <w:color w:val="auto"/>
          <w:sz w:val="20"/>
          <w:szCs w:val="20"/>
        </w:rPr>
        <w:t>SELECTED PROFESSIONAL DEVELOPMENT</w:t>
      </w:r>
    </w:p>
    <w:p w:rsidR="0052156D" w:rsidRPr="00365BBF" w:rsidRDefault="00EE223A" w:rsidP="00601549">
      <w:pPr>
        <w:pStyle w:val="CVBullet"/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PBPK Using PK-Sim Software, 2-day workshop: model fundamentals, model development, and special populations including pediatric, neonatal/preterm, and renal impairment; December 2022.</w:t>
      </w:r>
    </w:p>
    <w:p w:rsidR="0052156D" w:rsidRPr="00365BBF" w:rsidRDefault="00EE223A" w:rsidP="00601549">
      <w:pPr>
        <w:pStyle w:val="CVBullet"/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JMP Statistical Software for Pharmaceutical Sciences: data visualization, biostatistics, DoE, and dissolution; November 2022.</w:t>
      </w:r>
    </w:p>
    <w:p w:rsidR="0052156D" w:rsidRPr="00365BBF" w:rsidRDefault="00EE223A" w:rsidP="00601549">
      <w:pPr>
        <w:pStyle w:val="CVBullet"/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65BBF">
        <w:rPr>
          <w:rFonts w:ascii="Times New Roman" w:hAnsi="Times New Roman" w:cs="Times New Roman"/>
          <w:sz w:val="20"/>
          <w:szCs w:val="20"/>
        </w:rPr>
        <w:t>Exploring Chromatography and Mass Spectrometry, 4-day workshop organized by Shimadzu and Spinco Biotech with BITS Pilani, Hyderabad Campus</w:t>
      </w:r>
      <w:proofErr w:type="gramStart"/>
      <w:r w:rsidRPr="00365BBF">
        <w:rPr>
          <w:rFonts w:ascii="Times New Roman" w:hAnsi="Times New Roman" w:cs="Times New Roman"/>
          <w:sz w:val="20"/>
          <w:szCs w:val="20"/>
        </w:rPr>
        <w:t>;</w:t>
      </w:r>
      <w:proofErr w:type="gramEnd"/>
      <w:r w:rsidRPr="00365BBF">
        <w:rPr>
          <w:rFonts w:ascii="Times New Roman" w:hAnsi="Times New Roman" w:cs="Times New Roman"/>
          <w:sz w:val="20"/>
          <w:szCs w:val="20"/>
        </w:rPr>
        <w:t xml:space="preserve"> June 2019.</w:t>
      </w:r>
      <w:bookmarkStart w:id="0" w:name="_GoBack"/>
      <w:bookmarkEnd w:id="0"/>
    </w:p>
    <w:sectPr w:rsidR="0052156D" w:rsidRPr="00365BBF" w:rsidSect="00034616">
      <w:footerReference w:type="default" r:id="rId9"/>
      <w:pgSz w:w="12240" w:h="15840"/>
      <w:pgMar w:top="691" w:right="893" w:bottom="691" w:left="893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1F96" w:rsidRDefault="00F51F96">
      <w:pPr>
        <w:spacing w:after="0"/>
      </w:pPr>
      <w:r>
        <w:separator/>
      </w:r>
    </w:p>
  </w:endnote>
  <w:endnote w:type="continuationSeparator" w:id="0">
    <w:p w:rsidR="00F51F96" w:rsidRDefault="00F51F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56D" w:rsidRDefault="0052156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1F96" w:rsidRDefault="00F51F96">
      <w:pPr>
        <w:spacing w:after="0"/>
      </w:pPr>
      <w:r>
        <w:separator/>
      </w:r>
    </w:p>
  </w:footnote>
  <w:footnote w:type="continuationSeparator" w:id="0">
    <w:p w:rsidR="00F51F96" w:rsidRDefault="00F51F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C16FC"/>
    <w:multiLevelType w:val="hybridMultilevel"/>
    <w:tmpl w:val="01547224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0B0E58F4"/>
    <w:multiLevelType w:val="hybridMultilevel"/>
    <w:tmpl w:val="B4E2D320"/>
    <w:lvl w:ilvl="0" w:tplc="DF742986">
      <w:numFmt w:val="bullet"/>
      <w:lvlText w:val="•"/>
      <w:lvlJc w:val="left"/>
      <w:pPr>
        <w:ind w:left="417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1" w15:restartNumberingAfterBreak="0">
    <w:nsid w:val="1BC03893"/>
    <w:multiLevelType w:val="hybridMultilevel"/>
    <w:tmpl w:val="17F0D42E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1BF70A53"/>
    <w:multiLevelType w:val="hybridMultilevel"/>
    <w:tmpl w:val="612ADF00"/>
    <w:lvl w:ilvl="0" w:tplc="DF742986">
      <w:numFmt w:val="bullet"/>
      <w:lvlText w:val="•"/>
      <w:lvlJc w:val="left"/>
      <w:pPr>
        <w:ind w:left="417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3" w15:restartNumberingAfterBreak="0">
    <w:nsid w:val="1DF04537"/>
    <w:multiLevelType w:val="hybridMultilevel"/>
    <w:tmpl w:val="0A7A6118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22972F23"/>
    <w:multiLevelType w:val="hybridMultilevel"/>
    <w:tmpl w:val="2F4A97FA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5" w15:restartNumberingAfterBreak="0">
    <w:nsid w:val="24940227"/>
    <w:multiLevelType w:val="hybridMultilevel"/>
    <w:tmpl w:val="7D243594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6" w15:restartNumberingAfterBreak="0">
    <w:nsid w:val="283B0EE7"/>
    <w:multiLevelType w:val="hybridMultilevel"/>
    <w:tmpl w:val="B9BE541C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7" w15:restartNumberingAfterBreak="0">
    <w:nsid w:val="2CBA2412"/>
    <w:multiLevelType w:val="hybridMultilevel"/>
    <w:tmpl w:val="1A08FDCC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329A0771"/>
    <w:multiLevelType w:val="hybridMultilevel"/>
    <w:tmpl w:val="4B3828E8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34EC6E5E"/>
    <w:multiLevelType w:val="hybridMultilevel"/>
    <w:tmpl w:val="6FB4B6CC"/>
    <w:lvl w:ilvl="0" w:tplc="DF742986">
      <w:numFmt w:val="bullet"/>
      <w:lvlText w:val="•"/>
      <w:lvlJc w:val="left"/>
      <w:pPr>
        <w:ind w:left="417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0" w15:restartNumberingAfterBreak="0">
    <w:nsid w:val="42F03A45"/>
    <w:multiLevelType w:val="hybridMultilevel"/>
    <w:tmpl w:val="2D046E1A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1" w15:restartNumberingAfterBreak="0">
    <w:nsid w:val="47350B7B"/>
    <w:multiLevelType w:val="hybridMultilevel"/>
    <w:tmpl w:val="2FEA71C6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2" w15:restartNumberingAfterBreak="0">
    <w:nsid w:val="498A70BD"/>
    <w:multiLevelType w:val="hybridMultilevel"/>
    <w:tmpl w:val="D44C109C"/>
    <w:lvl w:ilvl="0" w:tplc="DF742986">
      <w:numFmt w:val="bullet"/>
      <w:lvlText w:val="•"/>
      <w:lvlJc w:val="left"/>
      <w:pPr>
        <w:ind w:left="417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3" w15:restartNumberingAfterBreak="0">
    <w:nsid w:val="59E5770E"/>
    <w:multiLevelType w:val="hybridMultilevel"/>
    <w:tmpl w:val="5ABA27B2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4" w15:restartNumberingAfterBreak="0">
    <w:nsid w:val="69750A6E"/>
    <w:multiLevelType w:val="hybridMultilevel"/>
    <w:tmpl w:val="942864CC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5" w15:restartNumberingAfterBreak="0">
    <w:nsid w:val="6A9C41AD"/>
    <w:multiLevelType w:val="hybridMultilevel"/>
    <w:tmpl w:val="82FC9FF4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6" w15:restartNumberingAfterBreak="0">
    <w:nsid w:val="6BD47DDB"/>
    <w:multiLevelType w:val="hybridMultilevel"/>
    <w:tmpl w:val="519EABC4"/>
    <w:lvl w:ilvl="0" w:tplc="DF742986">
      <w:numFmt w:val="bullet"/>
      <w:lvlText w:val="•"/>
      <w:lvlJc w:val="left"/>
      <w:pPr>
        <w:ind w:left="417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7" w15:restartNumberingAfterBreak="0">
    <w:nsid w:val="763B76BD"/>
    <w:multiLevelType w:val="hybridMultilevel"/>
    <w:tmpl w:val="DEFE527A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8" w15:restartNumberingAfterBreak="0">
    <w:nsid w:val="78B46C27"/>
    <w:multiLevelType w:val="hybridMultilevel"/>
    <w:tmpl w:val="A0905532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9" w15:restartNumberingAfterBreak="0">
    <w:nsid w:val="7EB6505D"/>
    <w:multiLevelType w:val="hybridMultilevel"/>
    <w:tmpl w:val="9EB4EE00"/>
    <w:lvl w:ilvl="0" w:tplc="DF742986">
      <w:numFmt w:val="bullet"/>
      <w:lvlText w:val="•"/>
      <w:lvlJc w:val="left"/>
      <w:pPr>
        <w:ind w:left="47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21"/>
  </w:num>
  <w:num w:numId="13">
    <w:abstractNumId w:val="13"/>
  </w:num>
  <w:num w:numId="14">
    <w:abstractNumId w:val="19"/>
  </w:num>
  <w:num w:numId="15">
    <w:abstractNumId w:val="15"/>
  </w:num>
  <w:num w:numId="16">
    <w:abstractNumId w:val="25"/>
  </w:num>
  <w:num w:numId="17">
    <w:abstractNumId w:val="26"/>
  </w:num>
  <w:num w:numId="18">
    <w:abstractNumId w:val="28"/>
  </w:num>
  <w:num w:numId="19">
    <w:abstractNumId w:val="27"/>
  </w:num>
  <w:num w:numId="20">
    <w:abstractNumId w:val="22"/>
  </w:num>
  <w:num w:numId="21">
    <w:abstractNumId w:val="20"/>
  </w:num>
  <w:num w:numId="22">
    <w:abstractNumId w:val="17"/>
  </w:num>
  <w:num w:numId="23">
    <w:abstractNumId w:val="10"/>
  </w:num>
  <w:num w:numId="24">
    <w:abstractNumId w:val="29"/>
  </w:num>
  <w:num w:numId="25">
    <w:abstractNumId w:val="11"/>
  </w:num>
  <w:num w:numId="26">
    <w:abstractNumId w:val="18"/>
  </w:num>
  <w:num w:numId="27">
    <w:abstractNumId w:val="23"/>
  </w:num>
  <w:num w:numId="28">
    <w:abstractNumId w:val="14"/>
  </w:num>
  <w:num w:numId="29">
    <w:abstractNumId w:val="24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0B30"/>
    <w:rsid w:val="0029639D"/>
    <w:rsid w:val="00326F90"/>
    <w:rsid w:val="00365BBF"/>
    <w:rsid w:val="003E3132"/>
    <w:rsid w:val="004B276D"/>
    <w:rsid w:val="0052156D"/>
    <w:rsid w:val="0054620B"/>
    <w:rsid w:val="00600633"/>
    <w:rsid w:val="00601549"/>
    <w:rsid w:val="00942335"/>
    <w:rsid w:val="00A83E3B"/>
    <w:rsid w:val="00AA1D8D"/>
    <w:rsid w:val="00B47730"/>
    <w:rsid w:val="00B621B9"/>
    <w:rsid w:val="00CB0664"/>
    <w:rsid w:val="00CB6D42"/>
    <w:rsid w:val="00CD2C99"/>
    <w:rsid w:val="00EE223A"/>
    <w:rsid w:val="00EF6A20"/>
    <w:rsid w:val="00F51F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E901574-BE4B-47B8-BEBF-9F82333DE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17365D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20" w:after="60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Normal"/>
    <w:pPr>
      <w:spacing w:after="34"/>
      <w:ind w:left="230" w:hanging="173"/>
    </w:pPr>
  </w:style>
  <w:style w:type="character" w:styleId="Hyperlink">
    <w:name w:val="Hyperlink"/>
    <w:basedOn w:val="DefaultParagraphFont"/>
    <w:uiPriority w:val="99"/>
    <w:unhideWhenUsed/>
    <w:rsid w:val="003E31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ammed-shareef-khan-52319711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7FBDC6-2A99-45FC-8B73-610196A76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2122</Words>
  <Characters>12098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Mohammed Shareef Khan - Pharmacometrics CV</vt:lpstr>
    </vt:vector>
  </TitlesOfParts>
  <Manager/>
  <Company/>
  <LinksUpToDate>false</LinksUpToDate>
  <CharactersWithSpaces>14192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Mohammed Shareef Khan - Pharmacometrics CV</dc:title>
  <dc:subject>Application CV for Pharmacometrics Support Programmer role</dc:subject>
  <dc:creator>MohammedShareef Khan</dc:creator>
  <cp:keywords/>
  <dc:description>generated by python-docx</dc:description>
  <cp:lastModifiedBy>MohammedShareef Khan</cp:lastModifiedBy>
  <cp:revision>12</cp:revision>
  <dcterms:created xsi:type="dcterms:W3CDTF">2026-09-11T13:44:00Z</dcterms:created>
  <dcterms:modified xsi:type="dcterms:W3CDTF">2026-09-23T11:10:00Z</dcterms:modified>
  <cp:category/>
</cp:coreProperties>
</file>