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97" w:right="0" w:hanging="36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VIVEK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Create an API endpoint that can accept a text and return associated sentiment with it.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Experiment setup: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Platform:      Colab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Device:         Gpu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Database:      Drive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Data Insight: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first take away from the dataset is that it includes the customer experience regarding the different airline (majority negative and mostly complaints).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comprises of mostly negative sentiments, Highly Skewed.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Next, I checked the length trend in the text, it appears that most of them are under the truncation range for most of the models ~150.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522605</wp:posOffset>
            </wp:positionV>
            <wp:extent cx="2838450" cy="2697480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3619500</wp:posOffset>
            </wp:positionH>
            <wp:positionV relativeFrom="paragraph">
              <wp:posOffset>562610</wp:posOffset>
            </wp:positionV>
            <wp:extent cx="2742565" cy="2657475"/>
            <wp:effectExtent b="0" l="0" r="0" t="0"/>
            <wp:wrapTopAndBottom distB="0" dist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length of sentence in the text is of 34 words.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dataset is comprised with the data of 6 different airlines namely virginAmerica, united, southwestAir, Jetblue, USAirways &amp; AmericanAir.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Solution Approach: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the dataset was highly biased, my naïve approch was that, to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RandomOverSampler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to remove bias towards the majority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for the mainstream model approach, I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Matthews correlation coefficient (MCC)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binary classification evaluation as it is an alternative measure unaffected by the unbalanced datasets issues.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preprocessing the dataset, I’ve tested 2 model architectures BERT and RoBERTa by finetuning them on train dataset (mydf_dataframe).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BERT had a score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334480" cy="172426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RoBERTa had a score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305901" cy="172426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distilRoBERTa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since distilled versions of the transformers models compromises with few accuracy points for the sake of quicker training and inference.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Reason for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XLNet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model, as it compromises with speed of training and inference in exchange for potentially better performance on complex tasks.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Ablation study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3"/>
        <w:gridCol w:w="1782"/>
        <w:gridCol w:w="2138"/>
        <w:gridCol w:w="1727"/>
        <w:gridCol w:w="1884"/>
        <w:tblGridChange w:id="0">
          <w:tblGrid>
            <w:gridCol w:w="3023"/>
            <w:gridCol w:w="1782"/>
            <w:gridCol w:w="2138"/>
            <w:gridCol w:w="1727"/>
            <w:gridCol w:w="1884"/>
          </w:tblGrid>
        </w:tblGridChange>
      </w:tblGrid>
      <w:tr>
        <w:trPr>
          <w:cantSplit w:val="0"/>
          <w:trHeight w:val="1249" w:hRule="atLeast"/>
          <w:tblHeader w:val="0"/>
        </w:trPr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Concept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Fine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tunning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Model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MCC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Score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2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3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bert-base-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cased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0.838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7830"/>
              </w:tabs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roberta-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0.866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F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0.893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0">
            <w:pPr>
              <w:tabs>
                <w:tab w:val="left" w:leader="none" w:pos="783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Binary Classification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783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(Sentiment Analysis)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7830"/>
              </w:tabs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3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xlnet-base-cased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0.841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6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electra-base-discriminator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0.860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7830"/>
              </w:tabs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distilroberta-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783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0.875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experiment,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RoBERTa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seems to outperform the other models with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86.6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have hyper tunned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ELECTRA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model a bit more before trying to finalize any approach for production. Since ELECTRA can make up the difference, according to the current GLUE benchmark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leaderboard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it is sitting above RoBERTa.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also came across a nice paper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Aspect-based Sentiment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ABSA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which would be very useful since it seeks to extract the most essential elements of an entity from text and predict their polarity. A review of ABSA’s most recent SOTA reveals a significant increase in discovering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aspect and sentiment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48955" cy="27054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0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assignment was enclosed with the various NLP concepts and addresses the numerous aspects and use case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https://www.cs.uic.edu/~lzhang3/paper/ZhangLiu-AEEE.pdf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https://bmcgenomics.biomedcentral.com/articles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single"/>
          <w:rtl w:val="0"/>
        </w:rPr>
        <w:t xml:space="preserve">Assignment links: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Collaboratory:-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Colab folder and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deployment on: 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Hugging face: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velvrix hugging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Streamlit: -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velvrix streamlit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links: -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Truefoundary_fastAPI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Truefoundary_streamlit_cloud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-697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1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9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3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063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8D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78D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C78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C78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029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3626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ELVRIX/STREAMLIT_CLOUD" TargetMode="External"/><Relationship Id="rId11" Type="http://schemas.openxmlformats.org/officeDocument/2006/relationships/hyperlink" Target="https://gluebenchmark.com/leaderboard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s://www.cs.uic.edu/~lzhang3/paper/ZhangLiu-AEE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bmcgenomics.biomedcentral.com/articles/10.1186/s12864-019-6413-7" TargetMode="External"/><Relationship Id="rId14" Type="http://schemas.openxmlformats.org/officeDocument/2006/relationships/hyperlink" Target="https://www.cs.uic.edu/~lzhang3/paper/ZhangLiu-AEEE.pdf" TargetMode="External"/><Relationship Id="rId17" Type="http://schemas.openxmlformats.org/officeDocument/2006/relationships/hyperlink" Target="https://huggingface.co/velvrix/truefoundary_sentimental_RoBERTa" TargetMode="External"/><Relationship Id="rId16" Type="http://schemas.openxmlformats.org/officeDocument/2006/relationships/hyperlink" Target="https://drive.google.com/drive/folders/17I38S6HoFZch7D_TSQqHHBGNKonkWb2u?usp=shar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VELVRIX/truefoundary_fastAPI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velvrix-streamlit-cloud-app-f0lmlu.streamlit.app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7OiZmkQCQ2kUFes4+uvbQZkz1A==">AMUW2mVnT+xCFJBUEtVPRFISq56ThXOn+CBUYzd9ps2QFlAVo79TRqp/QTwyuYBlccAKzv7gHBr2eH/1uyLM0QgSKNSiZauVw9WZe+hYQblKBSkHN2VQNVY=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2022-12-28T12:10:00Z</dcterms:created>
  <dc:creator>VIVEK</dc:creator>
</cp:coreProperties>
</file>