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49BB8">
      <w:pPr>
        <w:pStyle w:val="4"/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sz w:val="20"/>
          <w:szCs w:val="20"/>
        </w:rPr>
        <w:t>appeared asymptomatic</w:t>
      </w:r>
      <w:r>
        <w:rPr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45</w:t>
      </w:r>
      <w:r>
        <w:rPr>
          <w:sz w:val="20"/>
          <w:szCs w:val="20"/>
        </w:rPr>
        <w:t>. Another serological study detected SARS-CoV-2 neutralizing antibodies in cat serum samples collected in Wuhan after the COVID-19 outbreak, providing evidence for SARS-CoV-2 infection</w:t>
      </w:r>
      <w:r>
        <w:rPr>
          <w:rFonts w:hint="default"/>
          <w:sz w:val="20"/>
          <w:szCs w:val="20"/>
          <w:lang w:val="en-US"/>
        </w:rPr>
        <w:t>i</w:t>
      </w:r>
      <w:r>
        <w:rPr>
          <w:sz w:val="20"/>
          <w:szCs w:val="20"/>
        </w:rPr>
        <w:t xml:space="preserve">n cat populations in Wuhan, although the potential </w:t>
      </w:r>
      <w:r>
        <w:rPr>
          <w:rFonts w:hint="default"/>
          <w:sz w:val="20"/>
          <w:szCs w:val="20"/>
          <w:lang w:val="en-US"/>
        </w:rPr>
        <w:t xml:space="preserve">   </w:t>
      </w:r>
      <w:r>
        <w:rPr>
          <w:sz w:val="20"/>
          <w:szCs w:val="20"/>
        </w:rPr>
        <w:t xml:space="preserve">of SARS-CoV-2 transmission from cats to humans </w:t>
      </w:r>
      <w:r>
        <w:rPr>
          <w:rFonts w:hint="default"/>
          <w:sz w:val="20"/>
          <w:szCs w:val="20"/>
          <w:lang w:val="en-US"/>
        </w:rPr>
        <w:t>i</w:t>
      </w:r>
      <w:r>
        <w:rPr>
          <w:sz w:val="20"/>
          <w:szCs w:val="20"/>
        </w:rPr>
        <w:t>s currently uncertain</w:t>
      </w:r>
      <w:r>
        <w:rPr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46</w:t>
      </w:r>
      <w:r>
        <w:rPr>
          <w:sz w:val="20"/>
          <w:szCs w:val="20"/>
        </w:rPr>
        <w:t>.</w:t>
      </w:r>
    </w:p>
    <w:p w14:paraId="7502FBCD">
      <w:pPr>
        <w:pStyle w:val="4"/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Style w:val="5"/>
          <w:sz w:val="26"/>
          <w:szCs w:val="26"/>
        </w:rPr>
        <w:t>Receptor use and pathogenesis</w:t>
      </w:r>
      <w:r>
        <w:rPr>
          <w:rStyle w:val="5"/>
          <w:sz w:val="26"/>
          <w:szCs w:val="26"/>
        </w:rPr>
        <w:br w:type="textWrapping"/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SARS-CoV-2 uses the same receptor as SARS-CoV, angiotensin-converting enzyme 2 (ACE2)</w:t>
      </w:r>
      <w:r>
        <w:rPr>
          <w:color w:val="0000FF"/>
          <w:sz w:val="20"/>
          <w:szCs w:val="20"/>
          <w:vertAlign w:val="superscript"/>
        </w:rPr>
        <w:t>11,47</w:t>
      </w:r>
      <w:r>
        <w:rPr>
          <w:rFonts w:hint="default"/>
          <w:color w:val="000000" w:themeColor="text1"/>
          <w:sz w:val="20"/>
          <w:szCs w:val="20"/>
          <w:vertAlign w:val="baseline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sz w:val="20"/>
          <w:szCs w:val="20"/>
        </w:rPr>
        <w:t xml:space="preserve"> Besides human ACE2 (hACE2), SARS-CoV-2 also recognizes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ACE2 from pig, ferret, rhesus monkey, civet, cat, pan</w:t>
      </w:r>
      <w:r>
        <w:rPr>
          <w:rFonts w:hint="default"/>
          <w:sz w:val="20"/>
          <w:szCs w:val="20"/>
          <w:lang w:val="en-US"/>
        </w:rPr>
        <w:t>-</w:t>
      </w:r>
      <w:r>
        <w:rPr>
          <w:sz w:val="20"/>
          <w:szCs w:val="20"/>
        </w:rPr>
        <w:t>golin, rabbit and dog</w:t>
      </w:r>
      <w:r>
        <w:rPr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11</w:t>
      </w:r>
      <w:r>
        <w:rPr>
          <w:rFonts w:hint="default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,43</w:t>
      </w:r>
      <w:r>
        <w:rPr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,48,49</w:t>
      </w:r>
      <w:r>
        <w:rPr>
          <w:sz w:val="20"/>
          <w:szCs w:val="20"/>
        </w:rPr>
        <w:t xml:space="preserve">. The broad receptor usage of SARS-CoV-2 implies that it may have a wide host range, and the varied efficiency of ACE2 usage in different animals may indicate their different susceptibilities to SARS-CoV-2 infection. The S1 subunit of a coronavirus is further divided into two functional domains, an N-terminal domain and a C-terminal domain. 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Structural and biochemical analyses identified a 211 amino acid region (amino acids 319–529) at the S1C-terminal domain of SARSCoV-2 as the RBD, which has a key role in virus entry and is the target of neutralizing antibodies</w:t>
      </w:r>
      <w:r>
        <w:rPr>
          <w:color w:val="0000FF"/>
          <w:sz w:val="20"/>
          <w:szCs w:val="20"/>
          <w:vertAlign w:val="superscript"/>
        </w:rPr>
        <w:t>50,51</w:t>
      </w:r>
      <w:r>
        <w:rPr>
          <w:sz w:val="20"/>
          <w:szCs w:val="20"/>
        </w:rPr>
        <w:t xml:space="preserve"> (FIG. </w:t>
      </w:r>
      <w:r>
        <w:rPr>
          <w:color w:val="0000FF"/>
          <w:sz w:val="20"/>
          <w:szCs w:val="20"/>
        </w:rPr>
        <w:t>3a</w:t>
      </w:r>
      <w:r>
        <w:rPr>
          <w:sz w:val="20"/>
          <w:szCs w:val="20"/>
        </w:rPr>
        <w:t>). The RBD mediates contact with the ACE2 receptor (amino acids 437–507 of SARS-CoV-2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S protein), and this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region in SARS-CoV-2 differs from that in SARS-CoV in the five residues cr</w:t>
      </w:r>
      <w:r>
        <w:rPr>
          <w:rFonts w:hint="default"/>
          <w:sz w:val="20"/>
          <w:szCs w:val="20"/>
          <w:lang w:val="en-US"/>
        </w:rPr>
        <w:t>it-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7FB"/>
    <w:rsid w:val="006877FB"/>
    <w:rsid w:val="259505DC"/>
    <w:rsid w:val="2F755F8F"/>
    <w:rsid w:val="4337626A"/>
    <w:rsid w:val="55723134"/>
    <w:rsid w:val="74F9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206</Words>
  <Characters>1164</Characters>
  <Lines>0</Lines>
  <Paragraphs>0</Paragraphs>
  <TotalTime>0</TotalTime>
  <ScaleCrop>false</ScaleCrop>
  <LinksUpToDate>false</LinksUpToDate>
  <CharactersWithSpaces>1359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2025-11-11T13:17:00Z</dcterms:created>
  <dc:creator>1023_ Sarif</dc:creator>
  <cp:lastModifiedBy>1023_ Sarif</cp:lastModifiedBy>
  <dcterms:modified xsi:type="dcterms:W3CDTF">2025-11-13T19:43:17Z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95745D108B274C35905105FE132DED14_11</vt:lpwstr>
  </property>
</Properties>
</file>