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E06FE8">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Currently, our knowledge on the animal origin of SARS-CoV-2 remains incomplete to a large part. The reservoir hosts of the virus have not been clearly proven. It is unknown whether SARS-CoV-2 was transmitted to humans through an intermediate host and which animals may act as its intermediate host. Detection of RaTG13, RmYN02 and pangolin coronaviruses implies that diverse coronaviruses similar to SARS-CoV-2 are circulating in wildlife. In addition, as previous studies showed recombination as the potential origin of some sarbecoviruses such as SARS-CoV, it cannot be excluded that viral RNA recombination among different related coronaviruses was involved in the evolution of SARS-CoV-2. Extensive surveillance of SARS-CoV-2-related viruses in China, Southeast Asia and other regions targeting bats, wild and captured pangolins and other wildlife species will help us to better understand the zoonotic origin of SARS-CoV-2.</w:t>
      </w:r>
    </w:p>
    <w:p w14:paraId="5DC6D5D1">
      <w:pPr>
        <w:pStyle w:val="4"/>
        <w:keepNext w:val="0"/>
        <w:keepLines w:val="0"/>
        <w:widowControl/>
        <w:suppressLineNumbers w:val="0"/>
      </w:pPr>
      <w:r>
        <w:rPr>
          <w:rFonts w:hint="default" w:ascii="Times New Roman" w:hAnsi="Times New Roman" w:cs="Times New Roman"/>
          <w:sz w:val="20"/>
          <w:szCs w:val="20"/>
        </w:rPr>
        <w:t>Besides wildlife, researchers investigated the susceptibility of domesticated and laboratory animals to SARS-CoV-2 infection. The study demonstrated experimentally that SARS-CoV-2 replicates efficiently in cats and in the upper respiratory tract of ferrets, whereas dogs, pigs, chickens and ducks were not susceptible to SARS-CoV-2 (REF.</w:t>
      </w:r>
      <w:r>
        <w:rPr>
          <w:rFonts w:hint="default" w:ascii="Times New Roman" w:hAnsi="Times New Roman" w:cs="Times New Roman"/>
          <w:color w:val="4472C4" w:themeColor="accent5"/>
          <w:sz w:val="20"/>
          <w:szCs w:val="20"/>
          <w:vertAlign w:val="superscript"/>
          <w14:textFill>
            <w14:solidFill>
              <w14:schemeClr w14:val="accent5"/>
            </w14:solidFill>
          </w14:textFill>
        </w:rPr>
        <w:t>4</w:t>
      </w:r>
      <w:r>
        <w:rPr>
          <w:rFonts w:hint="default" w:cs="Times New Roman"/>
          <w:color w:val="4472C4" w:themeColor="accent5"/>
          <w:sz w:val="20"/>
          <w:szCs w:val="20"/>
          <w:vertAlign w:val="superscript"/>
          <w:lang w:val="en-US"/>
          <w14:textFill>
            <w14:solidFill>
              <w14:schemeClr w14:val="accent5"/>
            </w14:solidFill>
          </w14:textFill>
        </w:rPr>
        <w:t>3</w:t>
      </w:r>
      <w:r>
        <w:rPr>
          <w:rFonts w:hint="default" w:ascii="Times New Roman" w:hAnsi="Times New Roman" w:cs="Times New Roman"/>
          <w:sz w:val="20"/>
          <w:szCs w:val="20"/>
        </w:rPr>
        <w:t>). The susceptibility of minks was documented by a report from the Netherlands on an outbreak of SARS-CoV-2 infection in farmed minks. Although the symptoms in most infected minks were mild, some developed severe respiratory distress and died of interstitial pneumonia</w:t>
      </w:r>
      <w:r>
        <w:rPr>
          <w:rFonts w:hint="default" w:ascii="Times New Roman" w:hAnsi="Times New Roman" w:cs="Times New Roman"/>
          <w:color w:val="4472C4" w:themeColor="accent5"/>
          <w:sz w:val="20"/>
          <w:szCs w:val="20"/>
          <w:vertAlign w:val="superscript"/>
          <w14:textFill>
            <w14:solidFill>
              <w14:schemeClr w14:val="accent5"/>
            </w14:solidFill>
          </w14:textFill>
        </w:rPr>
        <w:t>44</w:t>
      </w:r>
      <w:r>
        <w:rPr>
          <w:rFonts w:hint="default" w:ascii="Times New Roman" w:hAnsi="Times New Roman" w:cs="Times New Roman"/>
          <w:sz w:val="20"/>
          <w:szCs w:val="20"/>
        </w:rPr>
        <w:t>. Both virological and serological testing found transmission of SARS-CoV-2 infection in two dogs from households with human cases of COVID-19 in Hong Kong, but the dogs</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077E41"/>
    <w:rsid w:val="4F4D64A9"/>
    <w:rsid w:val="61122513"/>
    <w:rsid w:val="67054570"/>
    <w:rsid w:val="7E077E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2025-11-11T15:15:00Z</dcterms:created>
  <dc:creator>1023_ Sarif</dc:creator>
  <cp:lastModifiedBy>1023_ Sarif</cp:lastModifiedBy>
  <dcterms:modified xsi:type="dcterms:W3CDTF">2025-11-12T21:01:39Z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B0ECDA9B950345E197B8AACA0237A98B_11</vt:lpwstr>
  </property>
</Properties>
</file>