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FA6CC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lower respiratory tracts. Acute viral interstitial pneumonia and humoral and cellular immune responses were observed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48,75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 Moreover, prolonged virus shedding peaked early in the course of infection in asymptomatic macaques</w:t>
      </w:r>
      <w:r>
        <w:rPr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6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9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, and old monkeys showed severe interstitial pneumonia than young monkeys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76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, which is similar to what is seen in patients with COVID-19. In human ACE2-transgenic mice infected with SARS-CoV-2, typical interstitial pneumonia was present, with viral antigen observed mainly in the bronchial epithelial cells, macrophages and alveolar epithelium. Some human ACE2-transgenic mice even died after infection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70,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71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 In wide-type mice, a SARS-CoV-2 mouse-adapted strain with the N501Y alteration in the RBD of the S protein was generated at passage 6. Interstitial pneumonia and inflammatory responses were found in both young and aged mice after infection with the mouse-adapted strain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74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 Golden hamsters also showed typical symptoms after being infected with SARS-CoV-2 (REF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7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7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). In other animal models, including cats and ferrets, SARS-CoV-2 could efficiently replicate in the upper respiratory tract but did not induce severe clinical symptoms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</w:t>
      </w:r>
      <w:r>
        <w:rPr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3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,78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 Transmission by direct contact and air was observed in infected ferrets and hamsters, these animals could be used to study different transmission modes of COVID-19 (REF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77</w:t>
      </w:r>
      <w:r>
        <w:rPr>
          <w:rStyle w:val="5"/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-79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). Animal models offer important information for understanding the pathogenesis of SARS-CoV-2 infection and the transmission dynamics of SARS-CoV-2, and are important to evaluate the efficacy of antiviral therapeutics and vaccines.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br w:type="textWrapping"/>
      </w:r>
    </w:p>
    <w:p w14:paraId="5FC17E46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Clinical and epidemiological features</w:t>
      </w:r>
    </w:p>
    <w:p w14:paraId="7814FECD">
      <w:p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11FD1393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It appears that all ages of the population are susceptible to SARS-CoV-2 infection, and the median age of infection is around 50 years 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9,13,60,60,81</w:t>
      </w:r>
      <w:r>
        <w:rPr>
          <w:rFonts w:hint="default" w:ascii="Times New Roman" w:hAnsi="Times New Roman" w:cs="Times New Roman"/>
          <w:sz w:val="20"/>
          <w:szCs w:val="20"/>
          <w:vertAlign w:val="superscript"/>
          <w:lang w:val="en-US"/>
        </w:rPr>
        <w:t xml:space="preserve"> </w:t>
      </w:r>
      <w:r>
        <w:rPr>
          <w:rFonts w:hint="default" w:ascii="Times New Roman" w:hAnsi="Times New Roman" w:cs="Times New Roman"/>
          <w:sz w:val="20"/>
          <w:szCs w:val="20"/>
          <w:vertAlign w:val="baseline"/>
          <w:lang w:val="en-US"/>
        </w:rPr>
        <w:t>,However, clinical manifestations differ with age. In generak, older men (&gt;60 years old) with co-morbidities are more likely to develop server respiratory disease that requires hospitalization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1A1A55"/>
    <w:rsid w:val="401A1A55"/>
    <w:rsid w:val="4CEA0F45"/>
    <w:rsid w:val="64B5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2025-11-11T16:34:00Z</dcterms:created>
  <dc:creator>1023_ Sarif</dc:creator>
  <cp:lastModifiedBy>1023_ Sarif</cp:lastModifiedBy>
  <dcterms:modified xsi:type="dcterms:W3CDTF">2025-11-12T21:21:50Z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5EFC11ECCCD04C58B09FFE85A8EA9842_11</vt:lpwstr>
  </property>
</Properties>
</file>