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791AC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other clinical trials in different phases are still ongoing elsewhere.</w:t>
      </w:r>
    </w:p>
    <w:p w14:paraId="2E83B58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Fonts w:hint="default" w:ascii="Times New Roman" w:hAnsi="Times New Roman" w:cs="Times New Roman"/>
          <w:b/>
          <w:bCs/>
          <w:sz w:val="20"/>
          <w:szCs w:val="20"/>
        </w:rPr>
        <w:t>Immunomodulatory agents.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SARS-CoV-2 triggers a strong immune response which may cause cytokine storm syndrome</w:t>
      </w:r>
      <w:r>
        <w:rPr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60,61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Thus, immunomodulatory agents that inhibit the excessive inflammatory response may be a potential adjunctive therapy for COVID-19. Dexamethasone is a corticosteroid often used in a wide range of conditions to relieve inflammation through its anti-inflammatory and immunosuppressant effects. Recently, the RECOVERY trial found dexamethasone reduced mortality by about one third in hospitalized patients with COVID-19 who received invasive mechanical ventilation and by one fifth in patients receiving oxygen. By contrast, no benefit was found in patients without respiratory support</w:t>
      </w:r>
      <w:r>
        <w:rPr>
          <w:rStyle w:val="5"/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146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</w:t>
      </w:r>
    </w:p>
    <w:p w14:paraId="6841043C">
      <w:pPr>
        <w:pStyle w:val="4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Tocilizumab and sarilumab, two types of interleukin-6 (IL-6) receptor-specific antibodies previously used to treat various types of arthritis, including rheumatoid arthritis, and cytokine release syndrome, showed effectiveness in the treatment of severe COVID-19 by attenuating the cytokine storm in a small uncontrolled trial</w:t>
      </w:r>
      <w:r>
        <w:rPr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147</w:t>
      </w:r>
      <w:r>
        <w:rPr>
          <w:rStyle w:val="5"/>
          <w:rFonts w:hint="default" w:ascii="Times New Roman" w:hAnsi="Times New Roman" w:cs="Times New Roman"/>
          <w:b w:val="0"/>
          <w:bCs w:val="0"/>
          <w:sz w:val="20"/>
          <w:szCs w:val="20"/>
        </w:rPr>
        <w:t>. Bevacizumab is an anti-vascular endothelial growth factor (VEGF) medication that could potentially reduce pulmonary oedema in patients with severe COVID-19. Eculizumab is a specific monoclonal antibody that inhibits the proinflammatory complement protein C5. Preliminary results showed that it induced a drop of inflammatory markers and C-reactive protein levels, suggesting its potential as an option for the treatment of severe COVID-19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(REF</w:t>
      </w:r>
      <w:r>
        <w:rPr>
          <w:rFonts w:hint="default" w:cs="Times New Roman"/>
          <w:b w:val="0"/>
          <w:bCs w:val="0"/>
          <w:sz w:val="20"/>
          <w:szCs w:val="20"/>
          <w:lang w:val="en-US"/>
        </w:rPr>
        <w:t>.</w:t>
      </w:r>
      <w:r>
        <w:rPr>
          <w:rFonts w:hint="default" w:cs="Times New Roman"/>
          <w:b w:val="0"/>
          <w:bCs w:val="0"/>
          <w:color w:val="4472C4" w:themeColor="accent5"/>
          <w:sz w:val="20"/>
          <w:szCs w:val="20"/>
          <w:vertAlign w:val="superscript"/>
          <w:lang w:val="en-US"/>
          <w14:textFill>
            <w14:solidFill>
              <w14:schemeClr w14:val="accent5"/>
            </w14:solidFill>
          </w14:textFill>
        </w:rPr>
        <w:t>1</w:t>
      </w:r>
      <w:r>
        <w:rPr>
          <w:rFonts w:hint="default" w:ascii="Times New Roman" w:hAnsi="Times New Roman" w:cs="Times New Roman"/>
          <w:b w:val="0"/>
          <w:bCs w:val="0"/>
          <w:color w:val="4472C4" w:themeColor="accent5"/>
          <w:sz w:val="20"/>
          <w:szCs w:val="20"/>
          <w:vertAlign w:val="superscript"/>
          <w14:textFill>
            <w14:solidFill>
              <w14:schemeClr w14:val="accent5"/>
            </w14:solidFill>
          </w14:textFill>
        </w:rPr>
        <w:t>48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)</w:t>
      </w:r>
      <w:bookmarkStart w:id="0" w:name="_GoBack"/>
      <w:bookmarkEnd w:id="0"/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FE0FBA"/>
    <w:rsid w:val="2BA7766D"/>
    <w:rsid w:val="551D5480"/>
    <w:rsid w:val="5DFE0FBA"/>
    <w:rsid w:val="76AE2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2025-11-11T17:05:00Z</dcterms:created>
  <dc:creator>1023_ Sarif</dc:creator>
  <cp:lastModifiedBy>1023_ Sarif</cp:lastModifiedBy>
  <dcterms:modified xsi:type="dcterms:W3CDTF">2025-11-12T21:27:07Z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DD89ADA27C8F48A6B1773BE1504EDA87_11</vt:lpwstr>
  </property>
</Properties>
</file>