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5E706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consolidation. It is also abnormal in asymptomatic patients/patients with no clinical evidence of lower respiratory tract involvement. In fact, abnormal CT scans have been used to diagnose COVID-19 in suspect cases with negative molecular diagnosis; many of these patients had positive molecular tests on repeat testing</w:t>
      </w:r>
      <w:r>
        <w:rPr>
          <w:rFonts w:hint="default" w:cs="Times New Roman"/>
          <w:sz w:val="20"/>
          <w:szCs w:val="20"/>
          <w:lang w:val="en-US"/>
        </w:rPr>
        <w:t>[</w:t>
      </w:r>
      <w:r>
        <w:rPr>
          <w:rFonts w:hint="default" w:ascii="Times New Roman" w:hAnsi="Times New Roman" w:cs="Times New Roman"/>
          <w:sz w:val="20"/>
          <w:szCs w:val="20"/>
        </w:rPr>
        <w:t>22</w:t>
      </w:r>
      <w:r>
        <w:rPr>
          <w:rFonts w:hint="default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</w:t>
      </w:r>
      <w:r>
        <w:rPr>
          <w:rFonts w:hint="default" w:ascii="Times New Roman" w:hAnsi="Times New Roman" w:cs="Times New Roman"/>
          <w:sz w:val="20"/>
          <w:szCs w:val="20"/>
        </w:rPr>
        <w:br w:type="textWrapping"/>
      </w:r>
    </w:p>
    <w:p w14:paraId="233A801E"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14:textFill>
            <w14:solidFill>
              <w14:schemeClr w14:val="accent2"/>
            </w14:solidFill>
          </w14:textFill>
        </w:rPr>
        <w:t>Differential Diagnosis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t>[</w:t>
      </w:r>
      <w:r>
        <w:rPr>
          <w:rFonts w:hint="default" w:ascii="Times New Roman" w:hAnsi="Times New Roman" w:cs="Times New Roman"/>
          <w:b/>
          <w:bCs/>
          <w:color w:val="2F5597" w:themeColor="accent5" w:themeShade="BF"/>
          <w:sz w:val="26"/>
          <w:szCs w:val="26"/>
        </w:rPr>
        <w:t>21</w:t>
      </w:r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t>]</w:t>
      </w:r>
      <w:r>
        <w:rPr>
          <w:rFonts w:hint="default" w:ascii="Times New Roman" w:hAnsi="Times New Roman" w:cs="Times New Roman"/>
          <w:b/>
          <w:bCs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sz w:val="20"/>
          <w:szCs w:val="20"/>
        </w:rPr>
        <w:br w:type="textWrapping"/>
      </w:r>
      <w:r>
        <w:rPr>
          <w:rFonts w:hint="default" w:ascii="Times New Roman" w:hAnsi="Times New Roman" w:cs="Times New Roman"/>
          <w:sz w:val="20"/>
          <w:szCs w:val="20"/>
        </w:rPr>
        <w:t>The differential diagnosis includes all types of respiratory viral infections (influenza, parainfluenza, respiratory syncytial virus (RSV), adenovirus, human metapneumovirus, non COVID-19 coronavirus), atypical organisms (mycoplasma, chlamydia) and bacterial infections. It is not possible to differentiate COVID-19 from these infections clinically or through routine lab tests. Therefore travel history becomes important. However, as the epidemic spreads, the travel history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41657E"/>
    <w:rsid w:val="1841657E"/>
    <w:rsid w:val="7AAF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2025-11-12T06:48:00Z</dcterms:created>
  <dc:creator>1023_ Sarif</dc:creator>
  <cp:lastModifiedBy>1023_ Sarif</cp:lastModifiedBy>
  <dcterms:modified xsi:type="dcterms:W3CDTF">2025-11-12T21:36:24Z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1B64E828D0424A48803CF1664E84762C_11</vt:lpwstr>
  </property>
</Properties>
</file>