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241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been used based on the experience with SARS and MERS. In a historical control study in patients with SARS, patients treated with lopinavir-ritonavir with ribavirin had better outcomes as compared to those given ribavirin alone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4DE0DA8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0"/>
          <w:szCs w:val="20"/>
        </w:rPr>
        <w:t>In the case series of 99 hospitalized patients with COVID-19 infection from Wuhan, oxygen was given to 76%, non-invasive ventilation in 13%, mechanical ventilation in 4%, extracorporeal membrane oxygenation (ECMO) in 3%, continuous renal replacement therapy (CRRT) in 9%, antibiotics in 71%, antifungals in 15%, glucocorticoids in 19% and intravenous immunoglobulin therapy in 27%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15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 Antiviral therapy consisting of oseltamivir, ganciclovir and lopinavir-ritonavir was given to 75% of the patients. The duration of non-invasive ventilation was 4–22 d [median 9 d]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F34F4"/>
    <w:rsid w:val="176132B4"/>
    <w:rsid w:val="634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2025-11-12T07:12:00Z</dcterms:created>
  <dc:creator>1023_ Sarif</dc:creator>
  <cp:lastModifiedBy>1023_ Sarif</cp:lastModifiedBy>
  <dcterms:modified xsi:type="dcterms:W3CDTF">2025-11-13T19:48:40Z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FB19F939DF674C9D8837428ACCEE4B63_11</vt:lpwstr>
  </property>
</Properties>
</file>