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458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viruses in nasal washes, saliva, urine and feces for up to 8 days after infection, and a few naive ferrets with only indirect contact were positive for viral RNA, suggesting airborne transmission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78</w:t>
      </w:r>
      <w:r>
        <w:rPr>
          <w:rFonts w:hint="default" w:ascii="Times New Roman" w:hAnsi="Times New Roman" w:cs="Times New Roman"/>
          <w:sz w:val="20"/>
          <w:szCs w:val="20"/>
        </w:rPr>
        <w:t>. In addition, transmission of the virus through the ocular surface and prolonged presence of SARS-CoV-2 viral RNA in fecal samples were also documented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101,102</w:t>
      </w:r>
      <w:r>
        <w:rPr>
          <w:rFonts w:hint="default" w:ascii="Times New Roman" w:hAnsi="Times New Roman" w:cs="Times New Roman"/>
          <w:sz w:val="20"/>
          <w:szCs w:val="20"/>
        </w:rPr>
        <w:t>. Coronaviruses can persist on inanimate surfaces for days, which could also be the case for SARS-CoV-2 and could pose prolonged risk of infection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103</w:t>
      </w:r>
      <w:r>
        <w:rPr>
          <w:rFonts w:hint="default" w:ascii="Times New Roman" w:hAnsi="Times New Roman" w:cs="Times New Roman"/>
          <w:sz w:val="20"/>
          <w:szCs w:val="20"/>
        </w:rPr>
        <w:t>. These findings explain the rapid geographic spread of COVID-19, and public health interventions to reduce transmission will provide benefit to mitigate the epidemic, as has proved successful in China and several other countries, such as South Korea</w:t>
      </w:r>
      <w:r>
        <w:rPr>
          <w:rFonts w:hint="default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89,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104,105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39F85C2E">
      <w:pPr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Diagnosis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Early diagnosis is crucial for controlling the spread of COVID-19. Molecular detection of SARS-CoV-2 nucleic acid is the gold standard. Many viral nucleic acid detection kits targeting ORF1b (including RdRp), N, E or S genes are commercially available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11,106-109</w:t>
      </w:r>
      <w:r>
        <w:rPr>
          <w:rFonts w:hint="default" w:ascii="Times New Roman" w:hAnsi="Times New Roman" w:cs="Times New Roman"/>
          <w:sz w:val="20"/>
          <w:szCs w:val="20"/>
        </w:rPr>
        <w:t>. The detection time ranges from several minutes to hours depending on the technology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106,107,109-111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. The molecular detection can be affected by many factors. Although SARS-CoV-2 has been detected from a variety of respiratory sources, including throat swabs, posterior oropharyngeal saliva, nasopharyngeal swabs, sputum and bronchial fluid, the viral load is higher in lower respiratory tract samples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11,</w:t>
      </w:r>
      <w:r>
        <w:rPr>
          <w:rFonts w:hint="default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96,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112-115</w:t>
      </w:r>
      <w:r>
        <w:rPr>
          <w:rFonts w:hint="default" w:ascii="Times New Roman" w:hAnsi="Times New Roman" w:cs="Times New Roman"/>
          <w:sz w:val="20"/>
          <w:szCs w:val="20"/>
        </w:rPr>
        <w:t xml:space="preserve"> . In addition, viral nucleic acid was also found in samples from the intestinal tract or blood even when respiratory samples were negative</w:t>
      </w:r>
      <w:r>
        <w:rPr>
          <w:rFonts w:hint="default" w:cs="Times New Roman"/>
          <w:sz w:val="20"/>
          <w:szCs w:val="20"/>
          <w:vertAlign w:val="superscript"/>
          <w:lang w:val="en-US"/>
        </w:rPr>
        <w:t>116</w:t>
      </w:r>
      <w:r>
        <w:rPr>
          <w:rFonts w:hint="default" w:ascii="Times New Roman" w:hAnsi="Times New Roman" w:cs="Times New Roman"/>
          <w:sz w:val="20"/>
          <w:szCs w:val="20"/>
        </w:rPr>
        <w:t xml:space="preserve"> . Lastly, </w:t>
      </w:r>
      <w:r>
        <w:rPr>
          <w:rFonts w:hint="default" w:ascii="Times New Roman" w:hAnsi="Times New Roman" w:eastAsia="SimSun" w:cs="Times New Roman"/>
          <w:sz w:val="20"/>
          <w:szCs w:val="20"/>
        </w:rPr>
        <w:t>Viral load may already drop from its peak level on disease onset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96,97</w:t>
      </w:r>
      <w:r>
        <w:rPr>
          <w:rFonts w:hint="default" w:ascii="Times New Roman" w:hAnsi="Times New Roman" w:eastAsia="SimSun" w:cs="Times New Roman"/>
          <w:sz w:val="20"/>
          <w:szCs w:val="20"/>
        </w:rPr>
        <w:t>. Accordingly, false negatives can be common when oral swabs and used, and so multiple detection methods should be adopted to confirm a COVID-19 diagnosis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117,118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. Other detection methods were therefore used to overcome this problem. Chest CT was used to quickly identify a patient when the capacity of molecular detection was overloaded in Wuhan. Patients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0A3F9F"/>
    <w:rsid w:val="020A3F9F"/>
    <w:rsid w:val="4C4A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2025-11-12T12:24:00Z</dcterms:created>
  <dc:creator>1023_ Sarif</dc:creator>
  <cp:lastModifiedBy>1023_ Sarif</cp:lastModifiedBy>
  <dcterms:modified xsi:type="dcterms:W3CDTF">2025-11-12T22:44:41Z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44FD1029371E49A18E464FDAAC7056FB_11</vt:lpwstr>
  </property>
</Properties>
</file>