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0192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Style w:val="5"/>
          <w:rFonts w:hint="default" w:ascii="Times New Roman" w:hAnsi="Times New Roman" w:cs="Times New Roman"/>
          <w:color w:val="ED7D31" w:themeColor="accent2"/>
          <w:sz w:val="26"/>
          <w:szCs w:val="26"/>
          <w14:textFill>
            <w14:solidFill>
              <w14:schemeClr w14:val="accent2"/>
            </w14:solidFill>
          </w14:textFill>
        </w:rPr>
        <w:t>Epidemiology and Pathogenesis</w:t>
      </w:r>
      <w:r>
        <w:rPr>
          <w:rStyle w:val="5"/>
          <w:rFonts w:hint="default" w:ascii="Times New Roman" w:hAnsi="Times New Roman" w:cs="Times New Roman"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t xml:space="preserve"> [</w:t>
      </w:r>
      <w:r>
        <w:rPr>
          <w:rFonts w:hint="default" w:ascii="Times New Roman" w:hAnsi="Times New Roman" w:cs="Times New Roman"/>
          <w:color w:val="2F5597" w:themeColor="accent5" w:themeShade="BF"/>
          <w:sz w:val="26"/>
          <w:szCs w:val="26"/>
        </w:rPr>
        <w:t>10</w:t>
      </w:r>
      <w:r>
        <w:rPr>
          <w:rFonts w:hint="default" w:ascii="Times New Roman" w:hAnsi="Times New Roman" w:cs="Times New Roman"/>
          <w:color w:val="ED7D31" w:themeColor="accent2"/>
          <w:sz w:val="26"/>
          <w:szCs w:val="26"/>
          <w14:textFill>
            <w14:solidFill>
              <w14:schemeClr w14:val="accent2"/>
            </w14:solidFill>
          </w14:textFill>
        </w:rPr>
        <w:t>,</w:t>
      </w:r>
      <w:r>
        <w:rPr>
          <w:rFonts w:hint="default" w:ascii="Times New Roman" w:hAnsi="Times New Roman" w:cs="Times New Roman"/>
          <w:sz w:val="26"/>
          <w:szCs w:val="26"/>
        </w:rPr>
        <w:t xml:space="preserve"> </w:t>
      </w:r>
      <w:r>
        <w:rPr>
          <w:rFonts w:hint="default" w:ascii="Times New Roman" w:hAnsi="Times New Roman" w:cs="Times New Roman"/>
          <w:color w:val="2F5597" w:themeColor="accent5" w:themeShade="BF"/>
          <w:sz w:val="26"/>
          <w:szCs w:val="26"/>
        </w:rPr>
        <w:t>11</w:t>
      </w:r>
      <w:r>
        <w:rPr>
          <w:rFonts w:hint="default" w:ascii="Times New Roman" w:hAnsi="Times New Roman" w:cs="Times New Roman"/>
          <w:color w:val="ED7D31" w:themeColor="accent2"/>
          <w:sz w:val="26"/>
          <w:szCs w:val="26"/>
          <w:lang w:val="en-US"/>
          <w14:textFill>
            <w14:solidFill>
              <w14:schemeClr w14:val="accent2"/>
            </w14:solidFill>
          </w14:textFill>
        </w:rPr>
        <w:t>]</w:t>
      </w:r>
    </w:p>
    <w:p w14:paraId="566881F4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0"/>
          <w:szCs w:val="20"/>
        </w:rPr>
        <w:t>All ages are susceptible. Infection is transmitted through large droplets generated during coughing and sneezing by symptomatic patients but can also occur from asymptomatic people and before onset of symptoms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[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9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 Studies have shown higher viral loads in the nasal cavity as compared to the throat with no difference in viral burden between symptomatic and asymptomatic people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[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12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 Patients can be infectious for as long as the symptoms last and even on clinical recovery. Some people may act as super spreaders; a UK citizen who attended a conference in Singapore infected 11 other people while staying in a resort in the French Alps and upon return to the UK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[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6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]</w:t>
      </w:r>
      <w:r>
        <w:rPr>
          <w:rFonts w:hint="default" w:ascii="Times New Roman" w:hAnsi="Times New Roman" w:cs="Times New Roman"/>
          <w:sz w:val="20"/>
          <w:szCs w:val="20"/>
        </w:rPr>
        <w:t>. These infected droplets can spread 1–2 m and deposit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9313AE"/>
    <w:rsid w:val="2F8F6815"/>
    <w:rsid w:val="3193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2025-11-12T13:42:00Z</dcterms:created>
  <dc:creator>1023_ Sarif</dc:creator>
  <cp:lastModifiedBy>1023_ Sarif</cp:lastModifiedBy>
  <dcterms:modified xsi:type="dcterms:W3CDTF">2025-11-12T22:50:13Z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6416B1E08E1541B79456AA032A300F67_11</vt:lpwstr>
  </property>
</Properties>
</file>