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D11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exploration of fully human antibodies (human single-chain antibodies; HuscFvs) or humanized nanobodies (single-domain antibodies; sdAb, VH/VHH) could aid in blocking virus replication, as these agents can traverse the virus-infected cell membranes (transbodies) and can interfere with the biological characteristics of the replicating virus proteins. Such examples include transbodies to the influenza virus, hepatitis C virus, Ebola virus, and dengue virus (</w:t>
      </w:r>
      <w:r>
        <w:rPr>
          <w:rFonts w:hint="default" w:ascii="Times New Roman" w:hAnsi="Times New Roman" w:cs="Times New Roman"/>
          <w:color w:val="2F5597" w:themeColor="accent5" w:themeShade="BF"/>
          <w:sz w:val="20"/>
          <w:szCs w:val="20"/>
        </w:rPr>
        <w:t>206</w:t>
      </w:r>
      <w:r>
        <w:rPr>
          <w:rFonts w:hint="default" w:ascii="Times New Roman" w:hAnsi="Times New Roman" w:cs="Times New Roman"/>
          <w:sz w:val="20"/>
          <w:szCs w:val="20"/>
        </w:rPr>
        <w:t>). Producing similar transbodies against intracellular proteins of coronaviruses, such as papain-like proteases (PLpro), cysteine-like protease (3CLpro), or other nsps, which are essential for replication and transcription of the virus, might formulate a practical move forward for a safer and potent passive immunization approach for virus-exposed persons and rendering therapy to infected patients.</w:t>
      </w:r>
    </w:p>
    <w:p w14:paraId="2AD1CF1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 a case study on five grimly sick patients having symptoms of severe pneumonia due to COVID-19, convalescent plasma administration was found to be helpful in patients recovering successfully. The convalescent plasma containing a SARS-CoV-2-specific ELISA (serum) antibody titer higher than 1:1,000 and neutralizing antibody titer more significant than 40 was collected from the recovered patients and used for plasma transfusion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36690"/>
    <w:rsid w:val="0DF875FB"/>
    <w:rsid w:val="7693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2025-11-11T15:18:00Z</dcterms:created>
  <dc:creator>1023_ Sarif</dc:creator>
  <cp:lastModifiedBy>1023_ Sarif</cp:lastModifiedBy>
  <dcterms:modified xsi:type="dcterms:W3CDTF">2025-11-11T17:49:38Z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4611ED530B6C43F584C4802E7C465E5C_11</vt:lpwstr>
  </property>
</Properties>
</file>