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F0918">
      <w:pPr>
        <w:pStyle w:val="4"/>
        <w:keepNext w:val="0"/>
        <w:keepLines w:val="0"/>
        <w:widowControl/>
        <w:suppressLineNumbers w:val="0"/>
        <w:rPr>
          <w:sz w:val="20"/>
          <w:szCs w:val="20"/>
        </w:rPr>
      </w:pPr>
      <w:r>
        <w:rPr>
          <w:rFonts w:hint="default" w:ascii="Times New Roman" w:hAnsi="Times New Roman" w:eastAsia="SimSun" w:cs="Times New Roman"/>
          <w:sz w:val="20"/>
          <w:szCs w:val="20"/>
        </w:rPr>
        <w:t>category A agents (cholera, plague). Patients should be placed in separate rooms or cohorted together. Negative pressure rooms are not generally needed. The rooms and surfaces and equipment should undergo regular decontamination preferably with sodium hypochlorite. Healthcare workers should be provided with fit tested N95 respirators and protective suits and goggles. Airborne transmission precautions should be taken during aerosol generating procedures such as intubation, suction and tracheostomies. All contacts including healthcare workers should be monitored for development of symptoms of COVID-19. Patients can be discharged from isolation once they are afebrile for atleast 3 d and have two consecutive negative molecular tests at 1 d sampling interval. This recommendation is different from pandemic flu where patients were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17C26"/>
    <w:rsid w:val="35B17C26"/>
    <w:rsid w:val="42032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2025-11-11T15:20:00Z</dcterms:created>
  <dc:creator>1023_ Sarif</dc:creator>
  <cp:lastModifiedBy>1023_ Sarif</cp:lastModifiedBy>
  <dcterms:modified xsi:type="dcterms:W3CDTF">2025-11-11T17:52:51Z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43E254C7144C4A50A93381E9AAC11159_11</vt:lpwstr>
  </property>
</Properties>
</file>