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C19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pathogenesis of SARS-CoV-2 infection in humans manifests itself as mild symptoms to severe respiratory failure. On binding to epithelial cells in the respiratory tract, SARS-CoV-2 starts replicating and migrating down to the airways and enters alveolar epithelial cells in the lungs. The rapid replication of SARS-CoV-2 in the lungs may trigger a strong immune response. Cytokine storm syndrome causes acute respiratory distress syndrome and respiratory failure, which is considered the main cause of death in patients with COVID-19 (REFS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6</w:t>
      </w:r>
      <w:r>
        <w:rPr>
          <w:rFonts w:hint="default" w:cs="Times New Roman"/>
          <w:sz w:val="20"/>
          <w:szCs w:val="20"/>
          <w:vertAlign w:val="superscript"/>
          <w:lang w:val="en-US"/>
        </w:rPr>
        <w:t>0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,6</w:t>
      </w:r>
      <w:r>
        <w:rPr>
          <w:rFonts w:hint="default" w:cs="Times New Roman"/>
          <w:sz w:val="20"/>
          <w:szCs w:val="20"/>
          <w:vertAlign w:val="superscript"/>
          <w:lang w:val="en-US"/>
        </w:rPr>
        <w:t>1</w:t>
      </w:r>
      <w:r>
        <w:rPr>
          <w:rFonts w:hint="default" w:ascii="Times New Roman" w:hAnsi="Times New Roman" w:cs="Times New Roman"/>
          <w:sz w:val="20"/>
          <w:szCs w:val="20"/>
        </w:rPr>
        <w:t>). Patients of older age (≥60 years) and with serious pre-existing diseases have a greater risk of developing acute respiratory distress syndrome and death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6</w:t>
      </w:r>
      <w:r>
        <w:rPr>
          <w:rFonts w:hint="default" w:cs="Times New Roman"/>
          <w:sz w:val="20"/>
          <w:szCs w:val="20"/>
          <w:vertAlign w:val="superscript"/>
          <w:lang w:val="en-US"/>
        </w:rPr>
        <w:t>2-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6</w:t>
      </w:r>
      <w:r>
        <w:rPr>
          <w:rFonts w:hint="default" w:cs="Times New Roman"/>
          <w:sz w:val="20"/>
          <w:szCs w:val="20"/>
          <w:vertAlign w:val="superscript"/>
          <w:lang w:val="en-US"/>
        </w:rPr>
        <w:t>4</w:t>
      </w:r>
      <w:r>
        <w:rPr>
          <w:rFonts w:hint="default" w:ascii="Times New Roman" w:hAnsi="Times New Roman" w:cs="Times New Roman"/>
          <w:sz w:val="20"/>
          <w:szCs w:val="20"/>
        </w:rPr>
        <w:t xml:space="preserve"> (FIG. 4). Multiple organ failure has also been reported in some COVID-19 cases</w:t>
      </w:r>
      <w:r>
        <w:rPr>
          <w:rFonts w:hint="default" w:cs="Times New Roman"/>
          <w:sz w:val="20"/>
          <w:szCs w:val="20"/>
          <w:vertAlign w:val="superscript"/>
          <w:lang w:val="en-US"/>
        </w:rPr>
        <w:t>9,13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,65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7275E5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Histopathological changes in patients with COVID-19 occur mainly in the lungs. Histopathology analyses showed bilateral diffused alveolar damage, hyaline membrane formation, desquamation of pneumocytes and fibrin deposits in lungs of patients with severe COVID-19. Exudative inflammation was also observed in some cases. Immunohistochemistry assays detected SARS-CoV-2 antigen in the upper airway, bronchial epithelium and submucosal gland epithelium, as well as in type I and type II pneumocytes, alveolar macrophages and hyaline membranes in the lungs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6</w:t>
      </w:r>
      <w:r>
        <w:rPr>
          <w:rFonts w:hint="default" w:cs="Times New Roman"/>
          <w:sz w:val="20"/>
          <w:szCs w:val="20"/>
          <w:vertAlign w:val="superscript"/>
          <w:lang w:val="en-US"/>
        </w:rPr>
        <w:t>3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,</w:t>
      </w:r>
      <w:r>
        <w:rPr>
          <w:rFonts w:hint="default" w:cs="Times New Roman"/>
          <w:sz w:val="20"/>
          <w:szCs w:val="20"/>
          <w:vertAlign w:val="superscript"/>
          <w:lang w:val="en-US"/>
        </w:rPr>
        <w:t>60,64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67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2974915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Animal models used for studying SARS-CoV-2 infection pathogenesis include non-human primates (rhesus macaques, cynomolgus monkeys, marmosets and African green monkeys), mice (wild-type mice (with mouse-adapted virus) and human ACE2-transgenic or human ACE2-knock-in mice), ferrets and golden hamsters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68–7</w:t>
      </w:r>
      <w:r>
        <w:rPr>
          <w:rFonts w:hint="default" w:cs="Times New Roman"/>
          <w:sz w:val="20"/>
          <w:szCs w:val="20"/>
          <w:vertAlign w:val="superscript"/>
          <w:lang w:val="en-US"/>
        </w:rPr>
        <w:t>4</w:t>
      </w:r>
      <w:r>
        <w:rPr>
          <w:rFonts w:hint="default" w:ascii="Times New Roman" w:hAnsi="Times New Roman" w:cs="Times New Roman"/>
          <w:sz w:val="20"/>
          <w:szCs w:val="20"/>
        </w:rPr>
        <w:t>. In non-human primate models, most species display clinical features similar to patients with COVID-19, including strong shedding</w:t>
      </w:r>
      <w:r>
        <w:rPr>
          <w:rFonts w:hint="default" w:cs="Times New Roman"/>
          <w:sz w:val="20"/>
          <w:szCs w:val="20"/>
          <w:lang w:val="en-US"/>
        </w:rPr>
        <w:t>,</w:t>
      </w:r>
      <w:r>
        <w:rPr>
          <w:rFonts w:hint="default" w:ascii="Times New Roman" w:hAnsi="Times New Roman" w:cs="Times New Roman"/>
          <w:sz w:val="20"/>
          <w:szCs w:val="20"/>
        </w:rPr>
        <w:t xml:space="preserve"> virus </w:t>
      </w:r>
      <w:r>
        <w:rPr>
          <w:rFonts w:hint="default" w:cs="Times New Roman"/>
          <w:sz w:val="20"/>
          <w:szCs w:val="20"/>
          <w:lang w:val="en-US"/>
        </w:rPr>
        <w:t>replication and host response to SARS-CoV-2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cs="Times New Roman"/>
          <w:sz w:val="20"/>
          <w:szCs w:val="20"/>
          <w:lang w:val="en-US"/>
        </w:rPr>
        <w:t>infection</w:t>
      </w:r>
      <w:r>
        <w:rPr>
          <w:rFonts w:hint="default" w:cs="Times New Roman"/>
          <w:sz w:val="20"/>
          <w:szCs w:val="20"/>
          <w:vertAlign w:val="superscript"/>
          <w:lang w:val="en-US"/>
        </w:rPr>
        <w:t>69,72,75</w:t>
      </w:r>
      <w:r>
        <w:rPr>
          <w:rFonts w:hint="default" w:ascii="Times New Roman" w:hAnsi="Times New Roman" w:cs="Times New Roman"/>
          <w:sz w:val="20"/>
          <w:szCs w:val="20"/>
        </w:rPr>
        <w:t>. For example, in the rhesus macaq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ue model, high viral loads were detected in the upper and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9F682D"/>
    <w:rsid w:val="0C8702C1"/>
    <w:rsid w:val="22C61834"/>
    <w:rsid w:val="469F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2025-11-11T15:25:00Z</dcterms:created>
  <dc:creator>1023_ Sarif</dc:creator>
  <cp:lastModifiedBy>1023_ Sarif</cp:lastModifiedBy>
  <dcterms:modified xsi:type="dcterms:W3CDTF">2025-11-12T14:55:53Z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8D11A739AAD3406FACCFDD91AFD67D84_11</vt:lpwstr>
  </property>
</Properties>
</file>