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E7F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/>
          <w:sz w:val="20"/>
          <w:szCs w:val="20"/>
        </w:rPr>
        <w:t>new targeted drugs, and prevention of further epidemics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13</w:t>
      </w:r>
      <w:r>
        <w:rPr>
          <w:rFonts w:hint="default" w:ascii="Times New Roman" w:hAnsi="Times New Roman" w:cs="Times New Roman"/>
          <w:sz w:val="20"/>
          <w:szCs w:val="20"/>
        </w:rPr>
        <w:t>). The most common symptoms associated with COVID-19 are fever, cough, dyspnea, expectoration, headache, and myalgia or fatigue.</w:t>
      </w:r>
    </w:p>
    <w:p w14:paraId="563B5C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 contrast, less common signs at the time of hospital admission include diarrhea, hemoptysis, and shortness of breath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14</w:t>
      </w:r>
      <w:r>
        <w:rPr>
          <w:rFonts w:hint="default" w:ascii="Times New Roman" w:hAnsi="Times New Roman" w:cs="Times New Roman"/>
          <w:sz w:val="20"/>
          <w:szCs w:val="20"/>
        </w:rPr>
        <w:t>). Recently, individuals with asymptomatic infections were also suspected of transmitting infections, which further adds to the complexity of disease transmission dynamics in COVID-19 infections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</w:t>
      </w:r>
      <w:r>
        <w:rPr>
          <w:rFonts w:hint="default" w:ascii="Times New Roman" w:hAnsi="Times New Roman" w:cs="Times New Roman"/>
          <w:sz w:val="20"/>
          <w:szCs w:val="20"/>
        </w:rPr>
        <w:t>). Such efficient responses require in-depth knowledge regarding the virus, which currently is a novel agent; consequently, further studies are required.</w:t>
      </w:r>
    </w:p>
    <w:p w14:paraId="024DDE9D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Comparing the genome of SARS-CoV-2 with that of the closely related SARS/SARS-like CoV revealed that the sequence coding for the spike protein, with a total length of 1,273 amino acids, showed 27 amino acid substitutions. Six of these substitutions are in the region of the receptor-binding domain (RBD), and another six substitutions are in the underpinning subdomain (SD)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16</w:t>
      </w:r>
      <w:r>
        <w:rPr>
          <w:rFonts w:hint="default" w:ascii="Times New Roman" w:hAnsi="Times New Roman" w:cs="Times New Roman"/>
          <w:sz w:val="20"/>
          <w:szCs w:val="20"/>
        </w:rPr>
        <w:t>). Phylogenetic analyses have revealed that SARS-CoV-2 is closely related (88% similarity) to two SARS-like CoVs derived from bat SARS-like CoVs (bat-SL-CoVCZ45 and bat-SL-CoVZXC21)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Fig. 1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C4534"/>
    <w:rsid w:val="12EC4534"/>
    <w:rsid w:val="15605678"/>
    <w:rsid w:val="19E7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2025-11-11T15:30:00Z</dcterms:created>
  <dc:creator>1023_ Sarif</dc:creator>
  <cp:lastModifiedBy>1023_ Sarif</cp:lastModifiedBy>
  <dcterms:modified xsi:type="dcterms:W3CDTF">2025-11-12T14:59:11Z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679F742CEEC94DE8912CA335254D7602_11</vt:lpwstr>
  </property>
</Properties>
</file>