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12C3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bookmarkStart w:id="0" w:name="_GoBack"/>
      <w:r>
        <w:rPr>
          <w:rFonts w:hint="default" w:ascii="Times New Roman" w:hAnsi="Times New Roman" w:cs="Times New Roman"/>
          <w:sz w:val="20"/>
          <w:szCs w:val="20"/>
        </w:rPr>
        <w:t>responsible for MERS-CoV and SARS-CoV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</w:t>
      </w:r>
      <w:r>
        <w:rPr>
          <w:rFonts w:hint="default" w:ascii="Times New Roman" w:hAnsi="Times New Roman" w:cs="Times New Roman"/>
          <w:sz w:val="20"/>
          <w:szCs w:val="20"/>
        </w:rPr>
        <w:t>). The newly emerged SARS-CoV-2 is a group 2B coronavirus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</w:t>
      </w:r>
      <w:r>
        <w:rPr>
          <w:rFonts w:hint="default" w:ascii="Times New Roman" w:hAnsi="Times New Roman" w:cs="Times New Roman"/>
          <w:sz w:val="20"/>
          <w:szCs w:val="20"/>
        </w:rPr>
        <w:t>). The genome sequences of SARS-CoV-2 obtained from patients share 79.5% sequence similarity to the sequence of SARS-CoV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63</w:t>
      </w:r>
      <w:r>
        <w:rPr>
          <w:rFonts w:hint="default" w:ascii="Times New Roman" w:hAnsi="Times New Roman" w:cs="Times New Roman"/>
          <w:sz w:val="20"/>
          <w:szCs w:val="20"/>
        </w:rPr>
        <w:t>).</w:t>
      </w:r>
    </w:p>
    <w:p w14:paraId="477AC360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As of 13 May 2020, a total of 4,170,424 confirmed cases of COVID-19 (with 287,399 deaths) have been reported in more than 210 affected countries worldwide (WHO Situation Report 114</w:t>
      </w:r>
    </w:p>
    <w:bookmarkEnd w:id="0"/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99124E"/>
    <w:rsid w:val="49A3627F"/>
    <w:rsid w:val="6EE23E6D"/>
    <w:rsid w:val="7B99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2025-11-11T15:31:00Z</dcterms:created>
  <dc:creator>1023_ Sarif</dc:creator>
  <cp:lastModifiedBy>1023_ Sarif</cp:lastModifiedBy>
  <dcterms:modified xsi:type="dcterms:W3CDTF">2025-11-11T18:36:14Z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65D5B97D65E9404693BDFCCBA0D7AA4D_11</vt:lpwstr>
  </property>
</Properties>
</file>