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159C3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RBD, indicating its potential as a therapeutic agent in the management of COVID-19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. It can be used alone or in combination with other effective neutralizing antibodies for the treatment and prevention of COVID-19 (</w:t>
      </w:r>
      <w:r>
        <w:rPr>
          <w:rStyle w:val="5"/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202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). Furthermore, SARS-CoV-specific neutralizing antibodies, like m396 and CR3014, failed to bind the S protein of SARS-CoV-2, indicating that a particular level of similarity is mandatory between the RBDs of SARS-CoV and SARS-CoV-2 for the cross-reactivity to occur.</w:t>
      </w:r>
    </w:p>
    <w:p w14:paraId="6F5733D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Further assessment is necessary before confirming the effectiveness of such combination therapy. In addition, to prevent further community and nosocomial spread of COVID-19, the postprocedure risk management program should not be neglected (</w:t>
      </w:r>
      <w:r>
        <w:rPr>
          <w:rStyle w:val="5"/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309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). Development of broad-spectrum inhibitors against the human coronaviral pathogens will help to facilitate clinical trials on the effectiveness of such inhibitors against endemic and emerging coronaviruses (</w:t>
      </w:r>
      <w:r>
        <w:rPr>
          <w:rStyle w:val="5"/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203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). A promising animal study revealed the protective effect of passive immunotherapy with immune serum from MERS-immune camels on mice infected with MERS-CoV (</w:t>
      </w:r>
      <w:r>
        <w:rPr>
          <w:rStyle w:val="5"/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204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). Passive immunotherapy using convalescent plasma is another strategy that can be used for treating COVID-19-infected, critically ill patients (</w:t>
      </w:r>
      <w:r>
        <w:rPr>
          <w:rStyle w:val="5"/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205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).</w:t>
      </w:r>
      <w:bookmarkStart w:id="0" w:name="_GoBack"/>
      <w:bookmarkEnd w:id="0"/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1B6A20"/>
    <w:rsid w:val="574C6E42"/>
    <w:rsid w:val="671B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2025-11-11T15:31:00Z</dcterms:created>
  <dc:creator>1023_ Sarif</dc:creator>
  <cp:lastModifiedBy>1023_ Sarif</cp:lastModifiedBy>
  <dcterms:modified xsi:type="dcterms:W3CDTF">2025-11-11T18:47:41Z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54AFF62E602844329D576491D9D83F95_11</vt:lpwstr>
  </property>
</Properties>
</file>