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F9DD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or even die, whereas most young people and children have only mild diseases (non-pneumonia or mild pneumonia) or are asymptomatic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9,81,82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Notably, the risk of disease was not higher for pregnant women. However, evidence of transplacental transmission of SARS-CoV-2 from an infected mother to a neonate was reported, although it was an isolated case⁸³,⁸⁴. On infection, the most common symptoms are fever, fatigue and dry cough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13.60,80,81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Less common symptoms include sputum production, headache, haemoptysis, diarrhoea, anorexia, sore throat, chest pain, chills and nausea and vomiting in studies of patients in China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13.60,80,81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Self-reported olfactory and taste disorders were also reported by patients in Italy⁸⁵. Most people showed signs of diseases after an incubation period of 1–14 days (most commonly around 5 days), and dyspnoea and pneumonia developed within a median time of 8 days from illness onset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9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</w:t>
      </w:r>
    </w:p>
    <w:p w14:paraId="1D1F460E">
      <w:pPr>
        <w:pStyle w:val="4"/>
        <w:keepNext w:val="0"/>
        <w:keepLines w:val="0"/>
        <w:widowControl/>
        <w:suppressLineNumbers w:val="0"/>
        <w:rPr>
          <w:b w:val="0"/>
          <w:bCs w:val="0"/>
          <w:sz w:val="20"/>
          <w:szCs w:val="20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In a report of 72,314 cases in China, 81% of the cases were classified as mild, 14% were severe cases that required ventilation in an intensive care unit (ICU) and a 5% were critical (that is, the patients had respiratory failure, septic shock and/or multiple organ dysfunction or failure)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9,86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On admission, ground-glass opacity was the most common radiologic finding on chest computed tomography (CT)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13.60,80,81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Most patients also developed marked lymphopenia, similar to what had been seen in patients with SARS and MERS, and non-survivors develope</w:t>
      </w:r>
      <w:bookmarkStart w:id="0" w:name="_GoBack"/>
      <w:bookmarkEnd w:id="0"/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d more severe lymphopenia</w:t>
      </w:r>
      <w:r>
        <w:rPr>
          <w:rStyle w:val="5"/>
          <w:rFonts w:hint="default" w:cs="Times New Roman"/>
          <w:b w:val="0"/>
          <w:bCs w:val="0"/>
          <w:sz w:val="20"/>
          <w:szCs w:val="20"/>
          <w:lang w:val="en-US"/>
        </w:rPr>
        <w:t xml:space="preserve"> over time</w:t>
      </w:r>
      <w:r>
        <w:rPr>
          <w:rStyle w:val="5"/>
          <w:rFonts w:hint="default" w:cs="Times New Roman"/>
          <w:b w:val="0"/>
          <w:bCs w:val="0"/>
          <w:sz w:val="20"/>
          <w:szCs w:val="20"/>
          <w:vertAlign w:val="superscript"/>
          <w:lang w:val="en-US"/>
        </w:rPr>
        <w:t>13.60,80,81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Compared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with non-ICU patients had higher levels</w:t>
      </w:r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C22899"/>
    <w:rsid w:val="04AA2CE5"/>
    <w:rsid w:val="1AC22899"/>
    <w:rsid w:val="4DF45277"/>
    <w:rsid w:val="65450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2025-11-11T15:39:00Z</dcterms:created>
  <dc:creator>1023_ Sarif</dc:creator>
  <cp:lastModifiedBy>1023_ Sarif</cp:lastModifiedBy>
  <dcterms:modified xsi:type="dcterms:W3CDTF">2025-11-12T15:08:39Z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AE4CB67561854224B5E65996FDBCCAFA_11</vt:lpwstr>
  </property>
</Properties>
</file>