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250B0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other clinical trials in different phases are still ongoing elsewhere.</w:t>
      </w:r>
    </w:p>
    <w:p w14:paraId="2B39464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Immunomodulatory agents.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SARS-CoV-2 triggers a strong immune response which may cause cytokine storm syndrome</w:t>
      </w:r>
      <w:r>
        <w:rPr>
          <w:rFonts w:hint="default" w:cs="Times New Roman"/>
          <w:b w:val="0"/>
          <w:bCs w:val="0"/>
          <w:sz w:val="20"/>
          <w:szCs w:val="20"/>
          <w:vertAlign w:val="superscript"/>
          <w:lang w:val="en-US"/>
        </w:rPr>
        <w:t>60,61</w:t>
      </w:r>
      <w:r>
        <w:rPr>
          <w:rStyle w:val="5"/>
          <w:rFonts w:hint="default" w:ascii="Times New Roman" w:hAnsi="Times New Roman" w:cs="Times New Roman"/>
          <w:b w:val="0"/>
          <w:bCs w:val="0"/>
          <w:sz w:val="20"/>
          <w:szCs w:val="20"/>
        </w:rPr>
        <w:t>. Thus, immunomodulatory agents that inhibit the excessive inflammatory response may be a potential adjunctive therapy for COVID-19. Dexamethasone is a corticosteroid often used in a wide range of conditions to relieve inflammation through its anti-inflammatory and immunosuppressant effects. Recently, the RECOVERY trial found dexamethasone reduced mortality by about one third in hospitalized patients with COVID-19 who received invasive mechanical ventilation and by one fifth in patients receiving oxygen. By contrast, no benefit was found in patients without respiratory support</w:t>
      </w:r>
      <w:r>
        <w:rPr>
          <w:rStyle w:val="5"/>
          <w:rFonts w:hint="default" w:cs="Times New Roman"/>
          <w:b w:val="0"/>
          <w:bCs w:val="0"/>
          <w:sz w:val="20"/>
          <w:szCs w:val="20"/>
          <w:vertAlign w:val="superscript"/>
          <w:lang w:val="en-US"/>
        </w:rPr>
        <w:t>146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.</w:t>
      </w:r>
    </w:p>
    <w:p w14:paraId="7AF70CD0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Tocilizumab and sarilumab, two types of interleukin-6 (IL-6) receptor-specific antibodies previously used to treat various types of arthritis, including rheumatoid arthritis, and cytokine release syndrome, showed effectiveness in the treatment of severe COVID-19 by attenuating the cytokine storm in a small uncontrolled trial</w:t>
      </w:r>
      <w:r>
        <w:rPr>
          <w:rFonts w:hint="default" w:cs="Times New Roman"/>
          <w:b w:val="0"/>
          <w:bCs w:val="0"/>
          <w:sz w:val="20"/>
          <w:szCs w:val="20"/>
          <w:vertAlign w:val="superscript"/>
          <w:lang w:val="en-US"/>
        </w:rPr>
        <w:t>147</w:t>
      </w:r>
      <w:r>
        <w:rPr>
          <w:rStyle w:val="5"/>
          <w:rFonts w:hint="default" w:ascii="Times New Roman" w:hAnsi="Times New Roman" w:cs="Times New Roman"/>
          <w:b w:val="0"/>
          <w:bCs w:val="0"/>
          <w:sz w:val="20"/>
          <w:szCs w:val="20"/>
        </w:rPr>
        <w:t>. Bevacizumab is an anti-vascular endothelial growth factor (VEGF) medication that could potentially reduce pulmonary oedema in patients with severe COVID-19. Eculizumab is a specific monoclonal antibody that inhibits the proinflammatory complement protein C5. Preliminary results showed that it induced a drop of inflammatory markers and C-reactiv</w:t>
      </w:r>
      <w:bookmarkStart w:id="0" w:name="_GoBack"/>
      <w:bookmarkEnd w:id="0"/>
      <w:r>
        <w:rPr>
          <w:rStyle w:val="5"/>
          <w:rFonts w:hint="default" w:ascii="Times New Roman" w:hAnsi="Times New Roman" w:cs="Times New Roman"/>
          <w:b w:val="0"/>
          <w:bCs w:val="0"/>
          <w:sz w:val="20"/>
          <w:szCs w:val="20"/>
        </w:rPr>
        <w:t>e protein levels, suggesting its potential as an option for the treatment of severe COVID-19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(REF</w:t>
      </w:r>
      <w:r>
        <w:rPr>
          <w:rFonts w:hint="default" w:cs="Times New Roman"/>
          <w:b w:val="0"/>
          <w:bCs w:val="0"/>
          <w:sz w:val="20"/>
          <w:szCs w:val="20"/>
          <w:lang w:val="en-US"/>
        </w:rPr>
        <w:t>.</w:t>
      </w:r>
      <w:r>
        <w:rPr>
          <w:rFonts w:hint="default" w:cs="Times New Roman"/>
          <w:b w:val="0"/>
          <w:bCs w:val="0"/>
          <w:sz w:val="20"/>
          <w:szCs w:val="20"/>
          <w:vertAlign w:val="superscript"/>
          <w:lang w:val="en-US"/>
        </w:rPr>
        <w:t>1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vertAlign w:val="superscript"/>
        </w:rPr>
        <w:t>48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)</w:t>
      </w:r>
    </w:p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FE0FBA"/>
    <w:rsid w:val="2BA7766D"/>
    <w:rsid w:val="551D5480"/>
    <w:rsid w:val="5DFE0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2025-11-11T17:05:00Z</dcterms:created>
  <dc:creator>1023_ Sarif</dc:creator>
  <cp:lastModifiedBy>1023_ Sarif</cp:lastModifiedBy>
  <dcterms:modified xsi:type="dcterms:W3CDTF">2025-11-12T15:15:52Z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DD89ADA27C8F48A6B1773BE1504EDA87_11</vt:lpwstr>
  </property>
</Properties>
</file>